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100"/>
        <w:jc w:val="center"/>
      </w:pPr>
      <w:r>
        <w:rPr>
          <w:rFonts w:ascii="Arial" w:cs="Arial" w:eastAsia="Arial" w:hAnsi="Arial"/>
          <w:b/>
          <w:bCs/>
          <w:color w:val="1F4E79"/>
          <w:sz w:val="56"/>
          <w:szCs w:val="56"/>
        </w:rPr>
        <w:t xml:space="preserve">Transportation Data Analysis &amp;</w:t>
      </w:r>
    </w:p>
    <w:p>
      <w:pPr>
        <w:spacing w:before="0" w:after="300"/>
        <w:jc w:val="center"/>
      </w:pPr>
      <w:r>
        <w:rPr>
          <w:rFonts w:ascii="Arial" w:cs="Arial" w:eastAsia="Arial" w:hAnsi="Arial"/>
          <w:b/>
          <w:bCs/>
          <w:color w:val="1F4E79"/>
          <w:sz w:val="56"/>
          <w:szCs w:val="56"/>
        </w:rPr>
        <w:t xml:space="preserve">Intelligent Driver Model Simulation</w:t>
      </w:r>
    </w:p>
    <w:p>
      <w:pPr>
        <w:spacing w:before="0" w:after="600"/>
        <w:jc w:val="center"/>
      </w:pPr>
      <w:r>
        <w:rPr>
          <w:rFonts w:ascii="Arial" w:cs="Arial" w:eastAsia="Arial" w:hAnsi="Arial"/>
          <w:i/>
          <w:iCs/>
          <w:color w:val="2E75B6"/>
          <w:sz w:val="26"/>
          <w:szCs w:val="26"/>
        </w:rPr>
        <w:t xml:space="preserve">Technical Report — NHTS &amp; NGSIM Dataset Analysis</w:t>
      </w:r>
    </w:p>
    <w:p>
      <w:pPr>
        <w:spacing w:before="0" w:after="100"/>
        <w:jc w:val="center"/>
      </w:pPr>
      <w:r>
        <w:rPr>
          <w:rFonts w:ascii="Arial" w:cs="Arial" w:eastAsia="Arial" w:hAnsi="Arial"/>
          <w:b/>
          <w:bCs/>
          <w:color w:val="333333"/>
          <w:sz w:val="24"/>
          <w:szCs w:val="24"/>
        </w:rPr>
        <w:t xml:space="preserve">Prepared by: Aminasahra Warsame</w:t>
      </w:r>
    </w:p>
    <w:p>
      <w:pPr>
        <w:spacing w:before="0" w:after="100"/>
        <w:jc w:val="center"/>
      </w:pPr>
      <w:r>
        <w:rPr>
          <w:rFonts w:ascii="Arial" w:cs="Arial" w:eastAsia="Arial" w:hAnsi="Arial"/>
          <w:color w:val="555555"/>
          <w:sz w:val="22"/>
          <w:szCs w:val="22"/>
        </w:rPr>
        <w:t xml:space="preserve">Engineering Intern</w:t>
      </w:r>
    </w:p>
    <w:p>
      <w:pPr>
        <w:spacing w:before="0" w:after="100"/>
        <w:jc w:val="center"/>
      </w:pPr>
      <w:r>
        <w:rPr>
          <w:rFonts w:ascii="Arial" w:cs="Arial" w:eastAsia="Arial" w:hAnsi="Arial"/>
          <w:color w:val="555555"/>
          <w:sz w:val="22"/>
          <w:szCs w:val="22"/>
        </w:rPr>
        <w:t xml:space="preserve">March 2026</w:t>
      </w:r>
    </w:p>
    <w:p>
      <w:pPr>
        <w:spacing w:before="200" w:after="0"/>
        <w:jc w:val="center"/>
      </w:pPr>
      <w:r>
        <w:rPr>
          <w:rFonts w:ascii="Arial" w:cs="Arial" w:eastAsia="Arial" w:hAnsi="Arial"/>
          <w:i/>
          <w:iCs/>
          <w:color w:val="777777"/>
          <w:sz w:val="20"/>
          <w:szCs w:val="20"/>
        </w:rPr>
        <w:t xml:space="preserve">Federal Highway Administration (FHWA) Transportation Planning Project</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1. Introduction</w:t>
      </w:r>
    </w:p>
    <w:p>
      <w:pPr>
        <w:spacing w:before="80" w:after="100"/>
        <w:jc w:val="both"/>
      </w:pPr>
      <w:r>
        <w:rPr>
          <w:rFonts w:ascii="Arial" w:cs="Arial" w:eastAsia="Arial" w:hAnsi="Arial"/>
          <w:sz w:val="22"/>
          <w:szCs w:val="22"/>
        </w:rPr>
        <w:t xml:space="preserve">Transportation systems are fundamental to the economic vitality and quality of daily life in the United States. To support evidence-based transportation planning and policy, the Federal Highway Administration (FHWA) invests heavily in collecting comprehensive datasets that capture both household travel behavior and real-world driving dynamics. This report presents the results of a data analysis project conducted on behalf of a transportation planning firm, using two nationally significant datasets: the National Household Travel Survey (NHTS) and the Next Generation Simulation (NGSIM) dataset.</w:t>
      </w:r>
    </w:p>
    <w:p>
      <w:pPr>
        <w:spacing w:before="60" w:after="60"/>
      </w:pPr>
      <w:r>
        <w:t xml:space="preserve"/>
      </w:r>
    </w:p>
    <w:p>
      <w:pPr>
        <w:spacing w:before="80" w:after="100"/>
        <w:jc w:val="both"/>
      </w:pPr>
      <w:r>
        <w:rPr>
          <w:rFonts w:ascii="Arial" w:cs="Arial" w:eastAsia="Arial" w:hAnsi="Arial"/>
          <w:sz w:val="22"/>
          <w:szCs w:val="22"/>
        </w:rPr>
        <w:t xml:space="preserve">The National Household Travel Survey (NHTS) is a nationwide survey administered by the FHWA that collects data on household characteristics, vehicle ownership, trip purposes, and travel modes. The 2022 edition used in this analysis contains 14,684 vehicle records spanning households across all four U.S. Census regions. The NHTS is widely used by transportation planners and policymakers to understand travel demand, vehicle fleet composition, and mobility trends.</w:t>
      </w:r>
    </w:p>
    <w:p>
      <w:pPr>
        <w:spacing w:before="60" w:after="60"/>
      </w:pPr>
      <w:r>
        <w:t xml:space="preserve"/>
      </w:r>
    </w:p>
    <w:p>
      <w:pPr>
        <w:spacing w:before="80" w:after="100"/>
        <w:jc w:val="both"/>
      </w:pPr>
      <w:r>
        <w:rPr>
          <w:rFonts w:ascii="Arial" w:cs="Arial" w:eastAsia="Arial" w:hAnsi="Arial"/>
          <w:sz w:val="22"/>
          <w:szCs w:val="22"/>
        </w:rPr>
        <w:t xml:space="preserve">The Next Generation Simulation (NGSIM) dataset, also developed under FHWA, provides high-resolution vehicle trajectory data collected from instrumented roadway segments. NGSIM captures second-by-second position, speed, and acceleration data for individual vehicles, enabling detailed analysis of car-following behavior and traffic flow. The dataset used here contains 8,166 observations across 16 vehicle trajectory pairs recorded at 0.1-second intervals.</w:t>
      </w:r>
    </w:p>
    <w:p>
      <w:pPr>
        <w:spacing w:before="60" w:after="60"/>
      </w:pPr>
      <w:r>
        <w:t xml:space="preserve"/>
      </w:r>
    </w:p>
    <w:p>
      <w:pPr>
        <w:spacing w:before="80" w:after="100"/>
        <w:jc w:val="both"/>
      </w:pPr>
      <w:r>
        <w:rPr>
          <w:rFonts w:ascii="Arial" w:cs="Arial" w:eastAsia="Arial" w:hAnsi="Arial"/>
          <w:sz w:val="22"/>
          <w:szCs w:val="22"/>
        </w:rPr>
        <w:t xml:space="preserve">The objectives of this analysis are threefold: (1) to visualize key trends in U.S. household vehicle ownership and fleet characteristics using the NHTS dataset; (2) to analyze real-world car-following behavior and headway dynamics using NGSIM; and (3) to implement and visualize a physics-based traffic simulation using the Intelligent Driver Model (IDM). All visualizations and simulations were implemented in Python using the matplotlib, seaborn, numpy, and pandas libraries.</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2. Methods</w:t>
      </w:r>
    </w:p>
    <w:p>
      <w:pPr>
        <w:pStyle w:val="Heading2"/>
        <w:spacing w:before="240" w:after="100"/>
      </w:pPr>
      <w:r>
        <w:rPr>
          <w:rFonts w:ascii="Arial" w:cs="Arial" w:eastAsia="Arial" w:hAnsi="Arial"/>
          <w:b/>
          <w:bCs/>
          <w:color w:val="2E75B6"/>
          <w:sz w:val="26"/>
          <w:szCs w:val="26"/>
        </w:rPr>
        <w:t xml:space="preserve">2.1 Variable Selection</w:t>
      </w:r>
    </w:p>
    <w:p>
      <w:pPr>
        <w:spacing w:before="80" w:after="100"/>
        <w:jc w:val="both"/>
      </w:pPr>
      <w:r>
        <w:rPr>
          <w:rFonts w:ascii="Arial" w:cs="Arial" w:eastAsia="Arial" w:hAnsi="Arial"/>
          <w:sz w:val="22"/>
          <w:szCs w:val="22"/>
        </w:rPr>
        <w:t xml:space="preserve">Variables were selected based on their relevance to transportation planning practice and their ability to communicate meaningful insights. The following NHTS variables were selected: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vehicle_type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Identifies vehicle class (car, SUV, truck, etc.). Critical for fleet composition and infrastructure planning.</w:t>
            </w:r>
          </w:p>
        </w:tc>
      </w:tr>
      <w:tr>
        <w:tc>
          <w:tcPr>
            <w:tcW w:type="dxa" w:w="2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vehicle_age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(years)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fleet age. Older vehicles are typically less fuel-efficient and produce higher emissions.</w:t>
            </w:r>
          </w:p>
        </w:tc>
      </w:tr>
      <w:tr>
        <w:tc>
          <w:tcPr>
            <w:tcW w:type="dxa" w:w="2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fuel_type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Classifies vehicles by powertrain. Essential for EV adoption tracking and emissions analysis.</w:t>
            </w:r>
          </w:p>
        </w:tc>
      </w:tr>
    </w:tbl>
    <w:p>
      <w:pPr>
        <w:spacing w:before="60" w:after="60"/>
      </w:pPr>
      <w:r>
        <w:t xml:space="preserve"/>
      </w:r>
    </w:p>
    <w:p>
      <w:pPr>
        <w:spacing w:before="80" w:after="100"/>
        <w:jc w:val="both"/>
      </w:pPr>
      <w:r>
        <w:rPr>
          <w:rFonts w:ascii="Arial" w:cs="Arial" w:eastAsia="Arial" w:hAnsi="Arial"/>
          <w:sz w:val="22"/>
          <w:szCs w:val="22"/>
        </w:rPr>
        <w:t xml:space="preserve">The following NGSIM variables were selected: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leader_speed / follower_speed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m/s (converted to mph)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car-following variables revealing speed response lag and traffic wave behavior.</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leader_position / follower_position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to derive space gap (headway), a key safety and road capacity metric.</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Enables time-series analysis of how speed and gap evolve throughout each trajectory.</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trajectory_number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Identifies distinct vehicle pairs, allowing comparison across different traffic scenarios.</w:t>
            </w:r>
          </w:p>
        </w:tc>
      </w:tr>
    </w:tbl>
    <w:p>
      <w:pPr>
        <w:spacing w:before="60" w:after="60"/>
      </w:pPr>
      <w:r>
        <w:t xml:space="preserve"/>
      </w:r>
    </w:p>
    <w:p>
      <w:pPr>
        <w:pStyle w:val="Heading2"/>
        <w:spacing w:before="240" w:after="100"/>
      </w:pPr>
      <w:r>
        <w:rPr>
          <w:rFonts w:ascii="Arial" w:cs="Arial" w:eastAsia="Arial" w:hAnsi="Arial"/>
          <w:b/>
          <w:bCs/>
          <w:color w:val="2E75B6"/>
          <w:sz w:val="26"/>
          <w:szCs w:val="26"/>
        </w:rPr>
        <w:t xml:space="preserve">2.2 Data Preparation</w:t>
      </w:r>
    </w:p>
    <w:p>
      <w:pPr>
        <w:spacing w:before="80" w:after="100"/>
        <w:jc w:val="both"/>
      </w:pPr>
      <w:r>
        <w:rPr>
          <w:rFonts w:ascii="Arial" w:cs="Arial" w:eastAsia="Arial" w:hAnsi="Arial"/>
          <w:sz w:val="22"/>
          <w:szCs w:val="22"/>
        </w:rPr>
        <w:t xml:space="preserve">Both datasets were loaded into Python using the pandas read_csv() function. For the NHTS dataset, rows with non-informative household income responses ('I prefer not to answer' and 'I don't know') were removed prior to analysis. Long categorical labels for vehicle type and fuel type were shortened using dictionary mappings to improve chart readability without altering the underlying data.</w:t>
      </w:r>
    </w:p>
    <w:p>
      <w:pPr>
        <w:spacing w:before="60" w:after="60"/>
      </w:pPr>
      <w:r>
        <w:t xml:space="preserve"/>
      </w:r>
    </w:p>
    <w:p>
      <w:pPr>
        <w:spacing w:before="80" w:after="100"/>
        <w:jc w:val="both"/>
      </w:pPr>
      <w:r>
        <w:rPr>
          <w:rFonts w:ascii="Arial" w:cs="Arial" w:eastAsia="Arial" w:hAnsi="Arial"/>
          <w:sz w:val="22"/>
          <w:szCs w:val="22"/>
        </w:rPr>
        <w:t xml:space="preserve">For the NGSIM dataset, two derived variables were computed. The space gap was calculated as the difference between leader and follower positions (gap = leader_position - follower_position). Speeds in meters per second were converted to miles per hour by multiplying by 2.23694, making results more intuitive for a U.S. audience.</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2.3 Plot Construction</w:t>
      </w:r>
    </w:p>
    <w:p>
      <w:pPr>
        <w:spacing w:before="80" w:after="100"/>
        <w:jc w:val="both"/>
      </w:pPr>
      <w:r>
        <w:rPr>
          <w:rFonts w:ascii="Arial" w:cs="Arial" w:eastAsia="Arial" w:hAnsi="Arial"/>
          <w:sz w:val="22"/>
          <w:szCs w:val="22"/>
        </w:rPr>
        <w:t xml:space="preserve">Six visualizations were produced in total. A consistent visual style was applied using matplotlib's rcParams global settings, including a uniform typeface (DejaVu Sans), removal of top and right axis spines, and a light gray plot background for a clean professional appearance.</w:t>
      </w:r>
    </w:p>
    <w:p>
      <w:pPr>
        <w:spacing w:before="60" w:after="60"/>
      </w:pPr>
      <w:r>
        <w:t xml:space="preserve"/>
      </w:r>
    </w:p>
    <w:p>
      <w:pPr>
        <w:spacing w:before="80" w:after="100"/>
        <w:jc w:val="both"/>
      </w:pPr>
      <w:r>
        <w:rPr>
          <w:rFonts w:ascii="Arial" w:cs="Arial" w:eastAsia="Arial" w:hAnsi="Arial"/>
          <w:sz w:val="22"/>
          <w:szCs w:val="22"/>
        </w:rPr>
        <w:t xml:space="preserve">Plot 1 — Bar Chart: Vehicle types were counted using pandas value_counts() and plotted using matplotlib's ax.bar(). Each bar received a unique color from a custom palette, and count labels were annotated above each bar using ax.text(). The y-axis was formatted with comma separators using matplotlib's FuncFormatter.</w:t>
      </w:r>
    </w:p>
    <w:p>
      <w:pPr>
        <w:spacing w:before="60" w:after="60"/>
      </w:pPr>
      <w:r>
        <w:t xml:space="preserve"/>
      </w:r>
    </w:p>
    <w:p>
      <w:pPr>
        <w:spacing w:before="80" w:after="100"/>
        <w:jc w:val="both"/>
      </w:pPr>
      <w:r>
        <w:rPr>
          <w:rFonts w:ascii="Arial" w:cs="Arial" w:eastAsia="Arial" w:hAnsi="Arial"/>
          <w:sz w:val="22"/>
          <w:szCs w:val="22"/>
        </w:rPr>
        <w:t xml:space="preserve">Plot 2 — Histogram: Seaborn's histplot() was used to generate a 30-bin histogram of vehicle age with a KDE (Kernel Density Estimate) overlay. The KDE line was styled post-plot to orange to contrast with the blue bars. Vertical reference lines for the mean and median were added using axvline() and included in the legend.</w:t>
      </w:r>
    </w:p>
    <w:p>
      <w:pPr>
        <w:spacing w:before="60" w:after="60"/>
      </w:pPr>
      <w:r>
        <w:t xml:space="preserve"/>
      </w:r>
    </w:p>
    <w:p>
      <w:pPr>
        <w:spacing w:before="80" w:after="100"/>
        <w:jc w:val="both"/>
      </w:pPr>
      <w:r>
        <w:rPr>
          <w:rFonts w:ascii="Arial" w:cs="Arial" w:eastAsia="Arial" w:hAnsi="Arial"/>
          <w:sz w:val="22"/>
          <w:szCs w:val="22"/>
        </w:rPr>
        <w:t xml:space="preserve">Plot 3 — Boxplot: Seaborn's boxplot() was used with a Blues_r gradient palette to compare vehicle age distributions across fuel types. Categories were ordered by ascending median age. A stripplot overlay added individual data points with jitter to reveal the underlying distribution density. Median values were annotated directly on each box.</w:t>
      </w:r>
    </w:p>
    <w:p>
      <w:pPr>
        <w:spacing w:before="60" w:after="60"/>
      </w:pPr>
      <w:r>
        <w:t xml:space="preserve"/>
      </w:r>
    </w:p>
    <w:p>
      <w:pPr>
        <w:spacing w:before="80" w:after="100"/>
        <w:jc w:val="both"/>
      </w:pPr>
      <w:r>
        <w:rPr>
          <w:rFonts w:ascii="Arial" w:cs="Arial" w:eastAsia="Arial" w:hAnsi="Arial"/>
          <w:sz w:val="22"/>
          <w:szCs w:val="22"/>
        </w:rPr>
        <w:t xml:space="preserve">Plot 4 — Time-Series (Speed): Three representative NGSIM trajectories (1, 7, and 13) were plotted in stacked subplots using ax.plot(). Leader speed was shown as a solid line and follower speed as dashed. The area between the two lines was shaded using fill_between() to emphasize speed differentials over time.</w:t>
      </w:r>
    </w:p>
    <w:p>
      <w:pPr>
        <w:spacing w:before="60" w:after="60"/>
      </w:pPr>
      <w:r>
        <w:t xml:space="preserve"/>
      </w:r>
    </w:p>
    <w:p>
      <w:pPr>
        <w:spacing w:before="80" w:after="100"/>
        <w:jc w:val="both"/>
      </w:pPr>
      <w:r>
        <w:rPr>
          <w:rFonts w:ascii="Arial" w:cs="Arial" w:eastAsia="Arial" w:hAnsi="Arial"/>
          <w:sz w:val="22"/>
          <w:szCs w:val="22"/>
        </w:rPr>
        <w:t xml:space="preserve">Plot 5 — Time-Series (Gap): All 16 NGSIM trajectories were plotted on a single axes using the plasma colormap, assigning a unique color per trajectory. A horizontal reference line at 24 meters was added to represent the 2-second safety rule at average speed.</w:t>
      </w:r>
    </w:p>
    <w:p>
      <w:pPr>
        <w:spacing w:before="60" w:after="60"/>
      </w:pPr>
      <w:r>
        <w:t xml:space="preserve"/>
      </w:r>
    </w:p>
    <w:p>
      <w:pPr>
        <w:spacing w:before="80" w:after="100"/>
        <w:jc w:val="both"/>
      </w:pPr>
      <w:r>
        <w:rPr>
          <w:rFonts w:ascii="Arial" w:cs="Arial" w:eastAsia="Arial" w:hAnsi="Arial"/>
          <w:sz w:val="22"/>
          <w:szCs w:val="22"/>
        </w:rPr>
        <w:t xml:space="preserve">Plot 6 — IDM Simulation: A custom Python simulation was written implementing the Intelligent Driver Model. A 5-vehicle platoon was simulated over 120 seconds using forward Euler integration at 0.1-second time steps. Results were displayed in two stacked subplots: position over time and speed over time. The braking event window was shaded using axvspan() and annotated with an arrow using ax.annotate().</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2.4 Intelligent Driver Model (IDM)</w:t>
      </w:r>
    </w:p>
    <w:p>
      <w:pPr>
        <w:spacing w:before="80" w:after="100"/>
        <w:jc w:val="both"/>
      </w:pPr>
      <w:r>
        <w:rPr>
          <w:rFonts w:ascii="Arial" w:cs="Arial" w:eastAsia="Arial" w:hAnsi="Arial"/>
          <w:sz w:val="22"/>
          <w:szCs w:val="22"/>
        </w:rPr>
        <w:t xml:space="preserve">The Intelligent Driver Model (IDM) is a deterministic, continuous car-following model developed by Treiber, Hennecke, and Helbing (2000). The model computes a vehicle's acceleration based on its current speed, the gap to the vehicle ahead, and the rate at which that gap is closing. The IDM acceleration equation is:</w:t>
      </w:r>
    </w:p>
    <w:p>
      <w:pPr>
        <w:spacing w:before="60" w:after="60"/>
      </w:pPr>
      <w:r>
        <w:t xml:space="preserve"/>
      </w:r>
    </w:p>
    <w:p>
      <w:pPr>
        <w:spacing w:before="80" w:after="100"/>
        <w:jc w:val="both"/>
      </w:pPr>
      <w:r>
        <w:rPr>
          <w:rFonts w:ascii="Courier New" w:cs="Courier New" w:eastAsia="Courier New" w:hAnsi="Courier New"/>
          <w:b/>
          <w:bCs/>
          <w:sz w:val="22"/>
          <w:szCs w:val="22"/>
        </w:rPr>
        <w:t xml:space="preserve">a = a_max * [ 1 - (v/v0)^delta - (s*/s)^2 ]</w:t>
      </w:r>
    </w:p>
    <w:p>
      <w:pPr>
        <w:spacing w:before="60" w:after="60"/>
      </w:pPr>
      <w:r>
        <w:t xml:space="preserve"/>
      </w:r>
    </w:p>
    <w:p>
      <w:pPr>
        <w:spacing w:before="80" w:after="100"/>
        <w:jc w:val="both"/>
      </w:pPr>
      <w:r>
        <w:rPr>
          <w:rFonts w:ascii="Arial" w:cs="Arial" w:eastAsia="Arial" w:hAnsi="Arial"/>
          <w:sz w:val="22"/>
          <w:szCs w:val="22"/>
        </w:rPr>
        <w:t xml:space="preserve">Where s* is the desired gap defined as:</w:t>
      </w:r>
    </w:p>
    <w:p>
      <w:pPr>
        <w:spacing w:before="60" w:after="60"/>
      </w:pPr>
      <w:r>
        <w:t xml:space="preserve"/>
      </w:r>
    </w:p>
    <w:p>
      <w:pPr>
        <w:spacing w:before="80" w:after="100"/>
        <w:jc w:val="both"/>
      </w:pPr>
      <w:r>
        <w:rPr>
          <w:rFonts w:ascii="Courier New" w:cs="Courier New" w:eastAsia="Courier New" w:hAnsi="Courier New"/>
          <w:b/>
          <w:bCs/>
          <w:sz w:val="22"/>
          <w:szCs w:val="22"/>
        </w:rPr>
        <w:t xml:space="preserve">s* = s0 + v*T + v*delta_v / (2 * sqrt(a_max * b))</w:t>
      </w:r>
    </w:p>
    <w:p>
      <w:pPr>
        <w:spacing w:before="60" w:after="60"/>
      </w:pPr>
      <w:r>
        <w:t xml:space="preserve"/>
      </w:r>
    </w:p>
    <w:p>
      <w:pPr>
        <w:spacing w:before="80" w:after="100"/>
        <w:jc w:val="both"/>
      </w:pPr>
      <w:r>
        <w:rPr>
          <w:rFonts w:ascii="Arial" w:cs="Arial" w:eastAsia="Arial" w:hAnsi="Arial"/>
          <w:sz w:val="22"/>
          <w:szCs w:val="22"/>
        </w:rPr>
        <w:t xml:space="preserve">The parameters used in this simulation were: desired speed v0 = 30 m/s, safe time headway T = 1.5 s, maximum acceleration a_max = 1.4 m/s^2, comfortable deceleration b = 2.0 m/s^2, minimum gap s0 = 2.0 m, and acceleration exponent delta = 4. The lead vehicle applied a 3.0 m/s^2 braking event from t = 40 s to t = 55 s to simulate a real-world deceleration scenario.</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3. Results and Discussion</w:t>
      </w:r>
    </w:p>
    <w:p>
      <w:pPr>
        <w:pStyle w:val="Heading2"/>
        <w:spacing w:before="240" w:after="100"/>
      </w:pPr>
      <w:r>
        <w:rPr>
          <w:rFonts w:ascii="Arial" w:cs="Arial" w:eastAsia="Arial" w:hAnsi="Arial"/>
          <w:b/>
          <w:bCs/>
          <w:color w:val="2E75B6"/>
          <w:sz w:val="26"/>
          <w:szCs w:val="26"/>
        </w:rPr>
        <w:t xml:space="preserve">3.1 Plot 1 — Vehicle Type Distribution (Bar Chart)</w:t>
      </w:r>
    </w:p>
    <w:p>
      <w:pPr>
        <w:spacing w:before="80" w:after="100"/>
        <w:jc w:val="both"/>
      </w:pPr>
      <w:r>
        <w:rPr>
          <w:rFonts w:ascii="Arial" w:cs="Arial" w:eastAsia="Arial" w:hAnsi="Arial"/>
          <w:sz w:val="22"/>
          <w:szCs w:val="22"/>
        </w:rPr>
        <w:t xml:space="preserve">The bar chart reveals that cars and sedans are by far the most common vehicle type in U.S. households, accounting for 6,382 vehicles (approximately 43% of the fleet). SUVs are the second most common at 4,562 vehicles (31%), followed by pickup trucks at 2,393 (16%). Vans, motorcycles, RVs, and other vehicle types collectively make up the remaining 10% of the fleet.</w:t>
      </w:r>
    </w:p>
    <w:p>
      <w:pPr>
        <w:spacing w:before="60" w:after="60"/>
      </w:pPr>
      <w:r>
        <w:t xml:space="preserve"/>
      </w:r>
    </w:p>
    <w:p>
      <w:pPr>
        <w:spacing w:before="80" w:after="100"/>
        <w:jc w:val="both"/>
      </w:pPr>
      <w:r>
        <w:rPr>
          <w:rFonts w:ascii="Arial" w:cs="Arial" w:eastAsia="Arial" w:hAnsi="Arial"/>
          <w:sz w:val="22"/>
          <w:szCs w:val="22"/>
        </w:rPr>
        <w:t xml:space="preserve">This finding is highly relevant to transportation planning. The dominance of SUVs and pickup trucks — both of which typically have lower fuel economy than sedans — has significant implications for fleet-wide fuel consumption and emissions projections. Transportation planners developing emissions inventories, EV charging infrastructure, or fuel economy incentive programs must account for the fact that nearly half the household fleet consists of light trucks and SUVs rather than passenger cars.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3.2 Plot 2 — Vehicle Age Distribution (Histogram)</w:t>
      </w:r>
    </w:p>
    <w:p>
      <w:pPr>
        <w:spacing w:before="80" w:after="100"/>
        <w:jc w:val="both"/>
      </w:pPr>
      <w:r>
        <w:rPr>
          <w:rFonts w:ascii="Arial" w:cs="Arial" w:eastAsia="Arial" w:hAnsi="Arial"/>
          <w:sz w:val="22"/>
          <w:szCs w:val="22"/>
        </w:rPr>
        <w:t xml:space="preserve">The histogram shows a right-skewed distribution of vehicle ages, with the majority of vehicles between 1 and 15 years old. The median vehicle age is 8 years, while the mean is approximately 10.2 years — the difference between these two statistics confirms the right skew caused by a tail of older vehicles extending to 40 years of age. The KDE overlay reinforces this shape, showing a sharp peak near 3-5 years and a long gradual decline.</w:t>
      </w:r>
    </w:p>
    <w:p>
      <w:pPr>
        <w:spacing w:before="60" w:after="60"/>
      </w:pPr>
      <w:r>
        <w:t xml:space="preserve"/>
      </w:r>
    </w:p>
    <w:p>
      <w:pPr>
        <w:spacing w:before="80" w:after="100"/>
        <w:jc w:val="both"/>
      </w:pPr>
      <w:r>
        <w:rPr>
          <w:rFonts w:ascii="Arial" w:cs="Arial" w:eastAsia="Arial" w:hAnsi="Arial"/>
          <w:sz w:val="22"/>
          <w:szCs w:val="22"/>
        </w:rPr>
        <w:t xml:space="preserve">An aging vehicle fleet has major implications for transportation sustainability. Vehicles older than 10 years are typically subject to less stringent emissions standards, consume more fuel, and are less likely to incorporate advanced safety technologies. The mean age of over 10 years suggests a significant portion of the U.S. fleet predates modern fuel economy and emissions regulations. This data can support policy arguments for accelerated vehicle turnover programs, scrappage incentives, or EV adoption subsidies.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3.3 Plot 3 — Vehicle Age by Fuel Type (Boxplot)</w:t>
      </w:r>
    </w:p>
    <w:p>
      <w:pPr>
        <w:spacing w:before="80" w:after="100"/>
        <w:jc w:val="both"/>
      </w:pPr>
      <w:r>
        <w:rPr>
          <w:rFonts w:ascii="Arial" w:cs="Arial" w:eastAsia="Arial" w:hAnsi="Arial"/>
          <w:sz w:val="22"/>
          <w:szCs w:val="22"/>
        </w:rPr>
        <w:t xml:space="preserve">The boxplot reveals a clear and expected pattern: electric vehicles (EVs) and plug-in hybrids have the youngest median ages (approximately 3-4 years), reflecting their recent market introduction and rapid growth. Conventional gasoline vehicles have a median age of approximately 8 years with a wide spread, including many older vehicles. Diesel vehicles show a similar median age to gas vehicles. Biodiesel and other alternative fuel vehicles, while having small sample sizes, show considerable age variability.</w:t>
      </w:r>
    </w:p>
    <w:p>
      <w:pPr>
        <w:spacing w:before="60" w:after="60"/>
      </w:pPr>
      <w:r>
        <w:t xml:space="preserve"/>
      </w:r>
    </w:p>
    <w:p>
      <w:pPr>
        <w:spacing w:before="80" w:after="100"/>
        <w:jc w:val="both"/>
      </w:pPr>
      <w:r>
        <w:rPr>
          <w:rFonts w:ascii="Arial" w:cs="Arial" w:eastAsia="Arial" w:hAnsi="Arial"/>
          <w:sz w:val="22"/>
          <w:szCs w:val="22"/>
        </w:rPr>
        <w:t xml:space="preserve">This finding directly reflects the timeline of EV technology commercialization. Since mass-market EVs only became widely available after 2012 (with vehicles like the Nissan Leaf and Tesla Model S), it is expected that EV fleets are newer on average. For transportation planners, this data supports projections that the EV share of the fleet will grow substantially over the next decade as older gasoline vehicles are retired and replaced. It also highlights the importance of building EV charging infrastructure now, ahead of the anticipated fleet transition.</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3.4 Plot 4 — Leader vs. Follower Speed (Time-Series)</w:t>
      </w:r>
    </w:p>
    <w:p>
      <w:pPr>
        <w:spacing w:before="80" w:after="100"/>
        <w:jc w:val="both"/>
      </w:pPr>
      <w:r>
        <w:rPr>
          <w:rFonts w:ascii="Arial" w:cs="Arial" w:eastAsia="Arial" w:hAnsi="Arial"/>
          <w:sz w:val="22"/>
          <w:szCs w:val="22"/>
        </w:rPr>
        <w:t xml:space="preserve">The time-series plots of three representative NGSIM trajectories demonstrate clear car-following dynamics. In each subplot, the follower vehicle's speed closely mirrors the leader's speed with a short time lag, confirming that the driver is actively responding to the vehicle ahead. When the leader decelerates, the follower decelerates shortly after; when the leader accelerates, the follower follows suit. The shaded area between the two speed curves represents the instantaneous speed differential, which periodically widens during deceleration events.</w:t>
      </w:r>
    </w:p>
    <w:p>
      <w:pPr>
        <w:spacing w:before="60" w:after="60"/>
      </w:pPr>
      <w:r>
        <w:t xml:space="preserve"/>
      </w:r>
    </w:p>
    <w:p>
      <w:pPr>
        <w:spacing w:before="80" w:after="100"/>
        <w:jc w:val="both"/>
      </w:pPr>
      <w:r>
        <w:rPr>
          <w:rFonts w:ascii="Arial" w:cs="Arial" w:eastAsia="Arial" w:hAnsi="Arial"/>
          <w:sz w:val="22"/>
          <w:szCs w:val="22"/>
        </w:rPr>
        <w:t xml:space="preserve">These patterns have direct relevance to traffic flow modeling and safety analysis. The observed response lag — the delay between when the leader changes speed and when the follower responds — is a key parameter in car-following models including the IDM. Larger lags are associated with greater traffic instability and higher rear-end collision risk. Transportation engineers can use trajectory data of this type to calibrate simulation models, design adaptive cruise control systems, and evaluate the potential of connected and automated vehicle (CAV) technology to reduce response lag.</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3.5 Plot 5 — Space Gap Over Time (Time-Series)</w:t>
      </w:r>
    </w:p>
    <w:p>
      <w:pPr>
        <w:spacing w:before="80" w:after="100"/>
        <w:jc w:val="both"/>
      </w:pPr>
      <w:r>
        <w:rPr>
          <w:rFonts w:ascii="Arial" w:cs="Arial" w:eastAsia="Arial" w:hAnsi="Arial"/>
          <w:sz w:val="22"/>
          <w:szCs w:val="22"/>
        </w:rPr>
        <w:t xml:space="preserve">The multi-trajectory gap plot shows substantial variation in headway distances across the 16 NGSIM trajectories. Many trajectories show gaps that fall below the 24-meter 2-second rule reference line, particularly during periods of deceleration. Some trajectories show gaps as small as 5-10 meters at certain moments, representing potentially unsafe following distances at highway speeds. Other trajectories maintain relatively stable gaps above the safety threshold throughout.</w:t>
      </w:r>
    </w:p>
    <w:p>
      <w:pPr>
        <w:spacing w:before="60" w:after="60"/>
      </w:pPr>
      <w:r>
        <w:t xml:space="preserve"/>
      </w:r>
    </w:p>
    <w:p>
      <w:pPr>
        <w:spacing w:before="80" w:after="100"/>
        <w:jc w:val="both"/>
      </w:pPr>
      <w:r>
        <w:rPr>
          <w:rFonts w:ascii="Arial" w:cs="Arial" w:eastAsia="Arial" w:hAnsi="Arial"/>
          <w:sz w:val="22"/>
          <w:szCs w:val="22"/>
        </w:rPr>
        <w:t xml:space="preserve">The 2-second rule is a widely used rule-of-thumb in driver education and traffic engineering, stating that a driver should maintain at least 2 seconds of travel time as a following gap. At the average observed speed of approximately 12 m/s (27 mph), this corresponds to roughly 24 meters. The frequency with which real drivers violate this threshold — as observed in the NGSIM data — underscores the importance of technologies such as automatic emergency braking (AEB) and adaptive cruise control (ACC) in preventing rear-end collisions. Transportation planners and safety engineers can use gap data to set design standards for vehicle following distances and evaluate the safety benefits of connected vehicle systems.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3.6 Plot 6 — IDM Simulation</w:t>
      </w:r>
    </w:p>
    <w:p>
      <w:pPr>
        <w:spacing w:before="80" w:after="100"/>
        <w:jc w:val="both"/>
      </w:pPr>
      <w:r>
        <w:rPr>
          <w:rFonts w:ascii="Arial" w:cs="Arial" w:eastAsia="Arial" w:hAnsi="Arial"/>
          <w:sz w:val="22"/>
          <w:szCs w:val="22"/>
        </w:rPr>
        <w:t xml:space="preserve">The IDM simulation results demonstrate realistic platoon behavior. In the position plot, all five vehicles travel in parallel trajectories with consistent spacing during the free-flow phase (0-40 seconds). When the lead vehicle brakes at t = 40 s, a visible compression of trajectories occurs as following vehicles close the gap before reacting. By approximately t = 70 s, all vehicles have recovered their desired spacing and speed.</w:t>
      </w:r>
    </w:p>
    <w:p>
      <w:pPr>
        <w:spacing w:before="60" w:after="60"/>
      </w:pPr>
      <w:r>
        <w:t xml:space="preserve"/>
      </w:r>
    </w:p>
    <w:p>
      <w:pPr>
        <w:spacing w:before="80" w:after="100"/>
        <w:jc w:val="both"/>
      </w:pPr>
      <w:r>
        <w:rPr>
          <w:rFonts w:ascii="Arial" w:cs="Arial" w:eastAsia="Arial" w:hAnsi="Arial"/>
          <w:sz w:val="22"/>
          <w:szCs w:val="22"/>
        </w:rPr>
        <w:t xml:space="preserve">The speed plot reveals the classic stop-and-go wave amplification phenomenon observed in real traffic. The lead vehicle's speed drop is moderate (from ~108 km/h to approximately 70 km/h), but the speed disturbance grows slightly as it propagates backward through the platoon — a phenomenon known as traffic instability or the phantom traffic jam effect. Vehicles 4 and 5 experience a slightly more severe speed reduction than the lead vehicle, even though they are further from the braking event.</w:t>
      </w:r>
    </w:p>
    <w:p>
      <w:pPr>
        <w:spacing w:before="60" w:after="60"/>
      </w:pPr>
      <w:r>
        <w:t xml:space="preserve"/>
      </w:r>
    </w:p>
    <w:p>
      <w:pPr>
        <w:spacing w:before="80" w:after="100"/>
        <w:jc w:val="both"/>
      </w:pPr>
      <w:r>
        <w:rPr>
          <w:rFonts w:ascii="Arial" w:cs="Arial" w:eastAsia="Arial" w:hAnsi="Arial"/>
          <w:sz w:val="22"/>
          <w:szCs w:val="22"/>
        </w:rPr>
        <w:t xml:space="preserve">This finding has profound implications for traffic engineering and transportation policy. It demonstrates mathematically why even minor braking events can cause downstream congestion on highways, and why connected and automated vehicle (CAV) platooning — where vehicles share speed information electronically and respond with zero lag — can dramatically reduce this wave amplification. The IDM is widely used in traffic simulation tools such as SUMO and VISSIM, and the parameters calibrated against real NGSIM data can be directly applied in professional-grade traffic modeling.</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4. Conclusion</w:t>
      </w:r>
    </w:p>
    <w:p>
      <w:pPr>
        <w:spacing w:before="80" w:after="100"/>
        <w:jc w:val="both"/>
      </w:pPr>
      <w:r>
        <w:rPr>
          <w:rFonts w:ascii="Arial" w:cs="Arial" w:eastAsia="Arial" w:hAnsi="Arial"/>
          <w:sz w:val="22"/>
          <w:szCs w:val="22"/>
        </w:rPr>
        <w:t xml:space="preserve">This analysis successfully characterized key features of U.S. household transportation behavior and real-world driving dynamics using the NHTS and NGSIM datasets. The results show that the U.S. vehicle fleet is dominated by cars and SUVs with a median age of 8 years, that electric and plug-in hybrid vehicles are significantly newer than conventional gasoline vehicles — signaling an ongoing fleet transition — and that real-world car-following behavior frequently involves gaps below established safety thresholds.</w:t>
      </w:r>
    </w:p>
    <w:p>
      <w:pPr>
        <w:spacing w:before="60" w:after="60"/>
      </w:pPr>
      <w:r>
        <w:t xml:space="preserve"/>
      </w:r>
    </w:p>
    <w:p>
      <w:pPr>
        <w:spacing w:before="80" w:after="100"/>
        <w:jc w:val="both"/>
      </w:pPr>
      <w:r>
        <w:rPr>
          <w:rFonts w:ascii="Arial" w:cs="Arial" w:eastAsia="Arial" w:hAnsi="Arial"/>
          <w:sz w:val="22"/>
          <w:szCs w:val="22"/>
        </w:rPr>
        <w:t xml:space="preserve">The IDM simulation reinforced the real-world trajectory findings by demonstrating how braking events propagate through a vehicle platoon and amplify downstream, forming the basis of phantom traffic jams. Together, these findings provide actionable insights for transportation planners working on fleet emissions modeling, EV infrastructure investment, traffic safety policy, and the design of connected and automated vehicle systems.</w:t>
      </w:r>
    </w:p>
    <w:p>
      <w:pPr>
        <w:spacing w:before="60" w:after="60"/>
      </w:pPr>
      <w:r>
        <w:t xml:space="preserve"/>
      </w:r>
    </w:p>
    <w:p>
      <w:pPr>
        <w:spacing w:before="80" w:after="100"/>
        <w:jc w:val="both"/>
      </w:pPr>
      <w:r>
        <w:rPr>
          <w:rFonts w:ascii="Arial" w:cs="Arial" w:eastAsia="Arial" w:hAnsi="Arial"/>
          <w:sz w:val="22"/>
          <w:szCs w:val="22"/>
        </w:rPr>
        <w:t xml:space="preserve">All analysis was conducted in Python using open-source libraries, demonstrating that professional-quality transportation data analysis can be performed efficiently without commercial software. The complete annotated code is available in the accompanying GitHub repository.</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5. References</w:t>
      </w:r>
    </w:p>
    <w:p>
      <w:pPr>
        <w:spacing w:before="80" w:after="100"/>
        <w:jc w:val="both"/>
      </w:pPr>
      <w:r>
        <w:rPr>
          <w:rFonts w:ascii="Arial" w:cs="Arial" w:eastAsia="Arial" w:hAnsi="Arial"/>
          <w:sz w:val="22"/>
          <w:szCs w:val="22"/>
        </w:rPr>
        <w:t xml:space="preserve">Federal Highway Administration. (2022). National Household Travel Survey (NHTS). U.S. Department of Transportation. https://nhts.ornl.gov</w:t>
      </w:r>
    </w:p>
    <w:p>
      <w:pPr>
        <w:spacing w:before="60" w:after="60"/>
      </w:pPr>
      <w:r>
        <w:t xml:space="preserve"/>
      </w:r>
    </w:p>
    <w:p>
      <w:pPr>
        <w:spacing w:before="80" w:after="100"/>
        <w:jc w:val="both"/>
      </w:pPr>
      <w:r>
        <w:rPr>
          <w:rFonts w:ascii="Arial" w:cs="Arial" w:eastAsia="Arial" w:hAnsi="Arial"/>
          <w:sz w:val="22"/>
          <w:szCs w:val="22"/>
        </w:rPr>
        <w:t xml:space="preserve">Federal Highway Administration. (2006). Next Generation Simulation (NGSIM) Vehicle Trajectories and Supporting Data. U.S. Department of Transportation. https://data.transportation.gov/Automobiles/Next-Generation-Simulation-NGSIM-Vehicle-Trajector/8ect-6jqj</w:t>
      </w:r>
    </w:p>
    <w:p>
      <w:pPr>
        <w:spacing w:before="60" w:after="60"/>
      </w:pPr>
      <w:r>
        <w:t xml:space="preserve"/>
      </w:r>
    </w:p>
    <w:p>
      <w:pPr>
        <w:spacing w:before="80" w:after="100"/>
        <w:jc w:val="both"/>
      </w:pPr>
      <w:r>
        <w:rPr>
          <w:rFonts w:ascii="Arial" w:cs="Arial" w:eastAsia="Arial" w:hAnsi="Arial"/>
          <w:sz w:val="22"/>
          <w:szCs w:val="22"/>
        </w:rPr>
        <w:t xml:space="preserve">Treiber, M., Hennecke, A., &amp; Helbing, D. (2000). Congested traffic states in empirical observations and microscopic simulations. Physical Review E, 62(2), 1805-1824. https://doi.org/10.1103/PhysRevE.62.1805</w:t>
      </w:r>
    </w:p>
    <w:p>
      <w:pPr>
        <w:spacing w:before="60" w:after="60"/>
      </w:pPr>
      <w:r>
        <w:t xml:space="preserve"/>
      </w:r>
    </w:p>
    <w:p>
      <w:pPr>
        <w:spacing w:before="80" w:after="100"/>
        <w:jc w:val="both"/>
      </w:pPr>
      <w:r>
        <w:rPr>
          <w:rFonts w:ascii="Arial" w:cs="Arial" w:eastAsia="Arial" w:hAnsi="Arial"/>
          <w:sz w:val="22"/>
          <w:szCs w:val="22"/>
        </w:rPr>
        <w:t xml:space="preserve">Hunter, J. D. (2007). Matplotlib: A 2D graphics environment. Computing in Science &amp; Engineering, 9(3), 90-95. https://doi.org/10.1109/MCSE.2007.55</w:t>
      </w:r>
    </w:p>
    <w:p>
      <w:pPr>
        <w:spacing w:before="60" w:after="60"/>
      </w:pPr>
      <w:r>
        <w:t xml:space="preserve"/>
      </w:r>
    </w:p>
    <w:p>
      <w:pPr>
        <w:spacing w:before="80" w:after="100"/>
        <w:jc w:val="both"/>
      </w:pPr>
      <w:r>
        <w:rPr>
          <w:rFonts w:ascii="Arial" w:cs="Arial" w:eastAsia="Arial" w:hAnsi="Arial"/>
          <w:sz w:val="22"/>
          <w:szCs w:val="22"/>
        </w:rPr>
        <w:t xml:space="preserve">Waskom, M. (2021). Seaborn: Statistical data visualization. Journal of Open Source Software, 6(60), 3021. https://doi.org/10.21105/joss.03021</w:t>
      </w:r>
    </w:p>
    <w:p>
      <w:pPr>
        <w:spacing w:before="60" w:after="60"/>
      </w:pPr>
      <w:r>
        <w:t xml:space="preserve"/>
      </w:r>
    </w:p>
    <w:p>
      <w:pPr>
        <w:spacing w:before="80" w:after="100"/>
        <w:jc w:val="both"/>
      </w:pPr>
      <w:r>
        <w:rPr>
          <w:rFonts w:ascii="Arial" w:cs="Arial" w:eastAsia="Arial" w:hAnsi="Arial"/>
          <w:sz w:val="22"/>
          <w:szCs w:val="22"/>
        </w:rPr>
        <w:t xml:space="preserve">McKinney, W. (2010). Data structures for statistical computing in Python. Proceedings of the 9th Python in Science Conference, 51-56.</w:t>
      </w:r>
    </w:p>
    <w:p>
      <w:pPr>
        <w:spacing w:before="60" w:after="60"/>
      </w:pPr>
      <w:r>
        <w:t xml:space="preserve"/>
      </w:r>
    </w:p>
    <w:p>
      <w:pPr>
        <w:spacing w:before="80" w:after="100"/>
        <w:jc w:val="both"/>
      </w:pPr>
      <w:r>
        <w:rPr>
          <w:rFonts w:ascii="Arial" w:cs="Arial" w:eastAsia="Arial" w:hAnsi="Arial"/>
          <w:sz w:val="22"/>
          <w:szCs w:val="22"/>
        </w:rPr>
        <w:t xml:space="preserve">Harris, C. R., et al. (2020). Array programming with NumPy. Nature, 585, 357-362. https://doi.org/10.1038/s41586-020-2649-2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Transportation Data Analysis Report  |  Aminasahra Warsame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2026-03-31T19:36:07.214Z</dcterms:created>
  <dcterms:modified xsi:type="dcterms:W3CDTF">2026-03-31T19:36:07.215Z</dcterms:modified>
</cp:coreProperties>
</file>

<file path=docProps/custom.xml><?xml version="1.0" encoding="utf-8"?>
<Properties xmlns="http://schemas.openxmlformats.org/officeDocument/2006/custom-properties" xmlns:vt="http://schemas.openxmlformats.org/officeDocument/2006/docPropsVTypes"/>
</file>