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Tableaux d'Effectifs Harmonisés (Variable 'faculte' et 'Parcours' créées)</w:t>
      </w:r>
    </w:p>
    <w:p>
      <w:pPr>
        <w:pStyle w:val="Titre2"/>
      </w:pPr>
      <w:r>
        <w:t xml:space="preserve">1. Répartition par Faculté et Parcours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Tableau croisé des effectifs : Ville par Parcours (avec Strasbourg corrigé)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87"/>
        <w:gridCol w:w="936"/>
        <w:gridCol w:w="826"/>
        <w:gridCol w:w="1156"/>
        <w:gridCol w:w="998"/>
        <w:gridCol w:w="1438"/>
        <w:gridCol w:w="900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faculte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Autre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PACES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Passerelle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572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574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Clermont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2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Lille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614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</w:t>
            </w:r>
          </w:p>
        </w:tc>
      </w:tr>
      <w:tr>
        <w:trPr>
          <w:trHeight w:val="571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</w:tr>
      <w:tr>
        <w:trPr>
          <w:trHeight w:val="612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Montpellier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61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Nancy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</w:t>
            </w:r>
          </w:p>
        </w:tc>
      </w:tr>
      <w:tr>
        <w:trPr>
          <w:trHeight w:val="57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Nantes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72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</w:tr>
      <w:tr>
        <w:trPr>
          <w:trHeight w:val="572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572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Reims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</w:tr>
      <w:tr>
        <w:trPr>
          <w:trHeight w:val="572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Strasbourg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572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Toulouse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</w:tr>
      <w:tr>
        <w:trPr>
          <w:trHeight w:val="571" w:hRule="auto"/>
        </w:trPr>
        body15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812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2. Détail des filières LAS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Répartition des filières LAS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65"/>
        <w:gridCol w:w="924"/>
        <w:gridCol w:w="1169"/>
        <w:gridCol w:w="1084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Catégorie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Cum.</w:t>
            </w:r>
          </w:p>
        </w:tc>
      </w:tr>
      <w:tr>
        <w:trPr>
          <w:trHeight w:val="57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Bio/Santé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72.41</w:t>
            </w:r>
          </w:p>
        </w:tc>
      </w:tr>
      <w:tr>
        <w:trPr>
          <w:trHeight w:val="574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571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172.41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2026-02-14T23:52:23Z</dcterms:modified>
  <cp:category/>
</cp:coreProperties>
</file>