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F09B" w14:textId="77777777" w:rsidR="00CC3D55" w:rsidRDefault="00CC3D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FD4548F" w14:textId="77777777" w:rsidR="00CC3D55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C307499" wp14:editId="19F6062C">
            <wp:extent cx="1440000" cy="1440000"/>
            <wp:effectExtent l="0" t="0" r="0" b="0"/>
            <wp:docPr id="15" name="image2.png" descr="Berkas:Logo of Ministry of Education and Culture of Republic of Indonesia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erkas:Logo of Ministry of Education and Culture of Republic of Indonesia.sv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CBB27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64B2C5" w14:textId="77777777" w:rsidR="00CC3D55" w:rsidRDefault="00CC3D55">
      <w:pPr>
        <w:widowControl w:val="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2ADCC0" w14:textId="77777777" w:rsidR="00CC3D55" w:rsidRDefault="00CC3D55">
      <w:pPr>
        <w:widowControl w:val="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637987" w14:textId="77777777" w:rsidR="00CC3D55" w:rsidRDefault="00CC3D55">
      <w:pPr>
        <w:widowControl w:val="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3A30B2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6AF1DB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CD4C8D" w14:textId="77777777" w:rsidR="00CC3D55" w:rsidRDefault="00000000">
      <w:pPr>
        <w:widowControl w:val="0"/>
        <w:tabs>
          <w:tab w:val="center" w:pos="4513"/>
          <w:tab w:val="right" w:pos="9026"/>
        </w:tabs>
        <w:spacing w:after="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ab/>
        <w:t>KERANGKA ACUAN KERJA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ab/>
      </w:r>
    </w:p>
    <w:p w14:paraId="3CFEAFF0" w14:textId="77777777" w:rsidR="00CC3D55" w:rsidRDefault="00000000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UNIT KEMAHASISWAAN</w:t>
      </w:r>
    </w:p>
    <w:p w14:paraId="11B067A0" w14:textId="77777777" w:rsidR="00CC3D55" w:rsidRDefault="00000000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POLITEKNIK NEGERI MADIUN</w:t>
      </w:r>
    </w:p>
    <w:p w14:paraId="37842C02" w14:textId="442C9A76" w:rsidR="00CC3D55" w:rsidRDefault="00000000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TAHUN 202</w:t>
      </w:r>
      <w:r w:rsidR="0033113E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4</w:t>
      </w:r>
    </w:p>
    <w:p w14:paraId="64991C1F" w14:textId="77777777" w:rsidR="00CC3D55" w:rsidRDefault="00CC3D55">
      <w:pPr>
        <w:widowControl w:val="0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D8B178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1D2B1F" w14:textId="77777777" w:rsidR="00CC3D55" w:rsidRDefault="00000000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1E0C3EFF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D9847E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a6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5331"/>
      </w:tblGrid>
      <w:tr w:rsidR="00CC3D55" w14:paraId="2CFF4B65" w14:textId="77777777" w:rsidTr="000E22B9">
        <w:trPr>
          <w:jc w:val="center"/>
        </w:trPr>
        <w:tc>
          <w:tcPr>
            <w:tcW w:w="3685" w:type="dxa"/>
          </w:tcPr>
          <w:p w14:paraId="71BCB707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Kegiatan</w:t>
            </w:r>
            <w:proofErr w:type="spellEnd"/>
          </w:p>
        </w:tc>
        <w:tc>
          <w:tcPr>
            <w:tcW w:w="5331" w:type="dxa"/>
          </w:tcPr>
          <w:p w14:paraId="6FC67EE7" w14:textId="496E7CCB" w:rsidR="00CC3D55" w:rsidRPr="0033113E" w:rsidRDefault="000E22B9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3113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PEMILIHAN RAYA MAHASISWA</w:t>
            </w:r>
          </w:p>
        </w:tc>
      </w:tr>
      <w:tr w:rsidR="00CC3D55" w14:paraId="64D66F2E" w14:textId="77777777" w:rsidTr="000E22B9">
        <w:trPr>
          <w:jc w:val="center"/>
        </w:trPr>
        <w:tc>
          <w:tcPr>
            <w:tcW w:w="3685" w:type="dxa"/>
          </w:tcPr>
          <w:p w14:paraId="58FC35AF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Mahasiswa</w:t>
            </w:r>
            <w:proofErr w:type="spellEnd"/>
          </w:p>
        </w:tc>
        <w:tc>
          <w:tcPr>
            <w:tcW w:w="5331" w:type="dxa"/>
          </w:tcPr>
          <w:p w14:paraId="5EA46C2A" w14:textId="491B0BFB" w:rsidR="00CC3D55" w:rsidRPr="0033113E" w:rsidRDefault="0033113E">
            <w:pPr>
              <w:widowControl w:val="0"/>
              <w:spacing w:after="12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3113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KPUM PNM</w:t>
            </w:r>
          </w:p>
        </w:tc>
      </w:tr>
    </w:tbl>
    <w:p w14:paraId="11743572" w14:textId="77777777" w:rsidR="00CC3D55" w:rsidRDefault="00CC3D55">
      <w:pPr>
        <w:widowControl w:val="0"/>
        <w:tabs>
          <w:tab w:val="left" w:pos="3097"/>
          <w:tab w:val="left" w:pos="3381"/>
        </w:tabs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3301F3" w14:textId="77777777" w:rsidR="00CC3D55" w:rsidRDefault="00CC3D55">
      <w:pPr>
        <w:widowControl w:val="0"/>
        <w:tabs>
          <w:tab w:val="left" w:pos="3097"/>
          <w:tab w:val="left" w:pos="3381"/>
        </w:tabs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DE8F35" w14:textId="77777777" w:rsidR="00CC3D55" w:rsidRDefault="00CC3D55">
      <w:pPr>
        <w:widowControl w:val="0"/>
        <w:tabs>
          <w:tab w:val="left" w:pos="3097"/>
          <w:tab w:val="left" w:pos="3381"/>
        </w:tabs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A395790" w14:textId="77777777" w:rsidR="00CC3D55" w:rsidRDefault="00CC3D55">
      <w:pPr>
        <w:widowControl w:val="0"/>
        <w:tabs>
          <w:tab w:val="left" w:pos="3097"/>
          <w:tab w:val="left" w:pos="3381"/>
        </w:tabs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E0F0B9" w14:textId="77777777" w:rsidR="00CC3D55" w:rsidRDefault="00CC3D55">
      <w:pPr>
        <w:widowControl w:val="0"/>
        <w:tabs>
          <w:tab w:val="left" w:pos="3097"/>
          <w:tab w:val="left" w:pos="3381"/>
        </w:tabs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7FD8FF" w14:textId="77777777" w:rsidR="00CC3D55" w:rsidRDefault="00000000">
      <w:pPr>
        <w:widowControl w:val="0"/>
        <w:tabs>
          <w:tab w:val="left" w:pos="3097"/>
          <w:tab w:val="left" w:pos="3381"/>
        </w:tabs>
        <w:spacing w:after="0"/>
        <w:ind w:left="3381" w:hanging="3381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KEMENTERIAN PENDIDIKAN, KEBUDAYAAN,</w:t>
      </w:r>
    </w:p>
    <w:p w14:paraId="67B4AF23" w14:textId="77777777" w:rsidR="00CC3D55" w:rsidRDefault="00000000">
      <w:pPr>
        <w:widowControl w:val="0"/>
        <w:tabs>
          <w:tab w:val="left" w:pos="3097"/>
          <w:tab w:val="left" w:pos="3381"/>
        </w:tabs>
        <w:spacing w:after="0"/>
        <w:ind w:left="3381" w:hanging="3381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RISET, DAN TEKNOLOGI</w:t>
      </w:r>
    </w:p>
    <w:p w14:paraId="19AFBF56" w14:textId="77777777" w:rsidR="00CC3D55" w:rsidRDefault="00000000">
      <w:pPr>
        <w:widowControl w:val="0"/>
        <w:tabs>
          <w:tab w:val="left" w:pos="3097"/>
          <w:tab w:val="left" w:pos="3381"/>
        </w:tabs>
        <w:spacing w:after="0"/>
        <w:ind w:left="3384" w:hanging="338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DIREKTORAT JENDERAL PENDIDIKAN VOKASI</w:t>
      </w:r>
    </w:p>
    <w:p w14:paraId="064C161F" w14:textId="77777777" w:rsidR="00CC3D55" w:rsidRDefault="00000000">
      <w:pPr>
        <w:widowControl w:val="0"/>
        <w:tabs>
          <w:tab w:val="left" w:pos="3097"/>
          <w:tab w:val="left" w:pos="3381"/>
        </w:tabs>
        <w:spacing w:after="0"/>
        <w:ind w:left="3384" w:hanging="338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 NEGERI MADIUN</w:t>
      </w:r>
    </w:p>
    <w:p w14:paraId="2FF94881" w14:textId="2C75A86F" w:rsidR="00CC3D55" w:rsidRDefault="00000000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202</w:t>
      </w:r>
      <w:r w:rsidR="0033113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14:paraId="095F3AE8" w14:textId="77777777" w:rsidR="00CC3D55" w:rsidRDefault="00CC3D55">
      <w:pPr>
        <w:widowControl w:val="0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63990B" w14:textId="77777777" w:rsidR="00CC3D5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LEMBAR PENGESAHAN</w:t>
      </w:r>
    </w:p>
    <w:p w14:paraId="78F30EC3" w14:textId="77777777" w:rsidR="00CC3D5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KERANGKA ACUAN KERJA</w:t>
      </w:r>
    </w:p>
    <w:p w14:paraId="1F8A51E4" w14:textId="77777777" w:rsidR="00CC3D5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 KEMAHASISWAAN</w:t>
      </w:r>
    </w:p>
    <w:p w14:paraId="187465D5" w14:textId="77777777" w:rsidR="00CC3D5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POLITEKNIK NEGERI MADIUN</w:t>
      </w:r>
    </w:p>
    <w:p w14:paraId="4473533A" w14:textId="733549F1" w:rsidR="00CC3D5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TAHUN 202</w:t>
      </w:r>
      <w:r w:rsidR="003311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174CB06A" w14:textId="77777777" w:rsidR="00CC3D55" w:rsidRDefault="00CC3D5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188BE6" w14:textId="77777777" w:rsidR="00CC3D55" w:rsidRDefault="00CC3D5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BBFC00" w14:textId="77777777" w:rsidR="00CC3D55" w:rsidRDefault="00CC3D5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BF792D" w14:textId="77777777" w:rsidR="00CC3D55" w:rsidRDefault="00CC3D5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98597D" w14:textId="77777777" w:rsidR="00CC3D55" w:rsidRDefault="00000000">
      <w:pPr>
        <w:jc w:val="right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Madiun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29 Agustus 2022</w:t>
      </w:r>
    </w:p>
    <w:p w14:paraId="1DADD559" w14:textId="77777777" w:rsidR="00CC3D55" w:rsidRDefault="00CC3D5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DE8600" w14:textId="77777777" w:rsidR="00CC3D55" w:rsidRDefault="00CC3D5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7"/>
        <w:tblW w:w="92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476"/>
      </w:tblGrid>
      <w:tr w:rsidR="00CC3D55" w14:paraId="20D1C94E" w14:textId="77777777">
        <w:tc>
          <w:tcPr>
            <w:tcW w:w="4815" w:type="dxa"/>
          </w:tcPr>
          <w:p w14:paraId="63C76DF3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Jawab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74D1F175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III</w:t>
            </w:r>
          </w:p>
          <w:p w14:paraId="3529067F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EB0CAF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52412F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9B76FA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302990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B763DD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Fredy Susanto,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S.Pd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M.Pd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.</w:t>
            </w:r>
          </w:p>
          <w:p w14:paraId="667ED400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NIPPPK. 198108222021211001 </w:t>
            </w:r>
          </w:p>
        </w:tc>
        <w:tc>
          <w:tcPr>
            <w:tcW w:w="4476" w:type="dxa"/>
          </w:tcPr>
          <w:p w14:paraId="2A97DF1D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Hormat kami,</w:t>
            </w:r>
          </w:p>
          <w:p w14:paraId="1F573095" w14:textId="53C598A9" w:rsidR="00CC3D55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1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KPUM PNM</w:t>
            </w:r>
          </w:p>
          <w:p w14:paraId="6EEF7DD2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BADC3E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A03993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CD8A68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436EA0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F7EED4" w14:textId="5EFB53D2" w:rsidR="00CC3D55" w:rsidRPr="0033113E" w:rsidRDefault="003311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3113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Muhammad Iqbal A.S</w:t>
            </w:r>
          </w:p>
          <w:p w14:paraId="2B92263D" w14:textId="5C316F9B" w:rsidR="00CC3D55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1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NIM. 2</w:t>
            </w:r>
            <w:r w:rsidR="0033113E" w:rsidRPr="003311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33209016</w:t>
            </w:r>
          </w:p>
        </w:tc>
      </w:tr>
    </w:tbl>
    <w:p w14:paraId="2B247254" w14:textId="77777777" w:rsidR="00CC3D55" w:rsidRDefault="00CC3D5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42D4D0" w14:textId="77777777" w:rsidR="00CC3D55" w:rsidRDefault="00CC3D5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AF04E" w14:textId="77777777" w:rsidR="00CC3D55" w:rsidRDefault="00CC3D5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119169" w14:textId="77777777" w:rsidR="00CC3D5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KERANGKA ACUAN KERJA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E5791BE" wp14:editId="507ECBA3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254000</wp:posOffset>
                </wp:positionV>
                <wp:extent cx="532196" cy="3942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4190" y="3597153"/>
                          <a:ext cx="503621" cy="36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479AA1" w14:textId="77777777" w:rsidR="00CC3D55" w:rsidRDefault="00CC3D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254000</wp:posOffset>
                </wp:positionV>
                <wp:extent cx="532196" cy="39427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196" cy="394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04685F" w14:textId="744FAF8E" w:rsidR="00CC3D55" w:rsidRPr="0033113E" w:rsidRDefault="000E22B9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sz w:val="27"/>
          <w:szCs w:val="27"/>
        </w:rPr>
      </w:pPr>
      <w:r w:rsidRPr="0033113E">
        <w:rPr>
          <w:rFonts w:ascii="Times New Roman" w:eastAsia="Times New Roman" w:hAnsi="Times New Roman" w:cs="Times New Roman"/>
          <w:b/>
          <w:i/>
          <w:sz w:val="27"/>
          <w:szCs w:val="27"/>
        </w:rPr>
        <w:t>PEMILIHAN RAYA MAHASISWA</w:t>
      </w:r>
    </w:p>
    <w:p w14:paraId="0324EEB0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9016" w:type="dxa"/>
        <w:tblBorders>
          <w:top w:val="single" w:sz="4" w:space="0" w:color="F8F8F8"/>
          <w:left w:val="single" w:sz="4" w:space="0" w:color="F8F8F8"/>
          <w:bottom w:val="single" w:sz="4" w:space="0" w:color="F8F8F8"/>
          <w:right w:val="single" w:sz="4" w:space="0" w:color="F8F8F8"/>
          <w:insideH w:val="single" w:sz="4" w:space="0" w:color="F8F8F8"/>
          <w:insideV w:val="single" w:sz="4" w:space="0" w:color="F8F8F8"/>
        </w:tblBorders>
        <w:tblLayout w:type="fixed"/>
        <w:tblLook w:val="0400" w:firstRow="0" w:lastRow="0" w:firstColumn="0" w:lastColumn="0" w:noHBand="0" w:noVBand="1"/>
      </w:tblPr>
      <w:tblGrid>
        <w:gridCol w:w="3220"/>
        <w:gridCol w:w="283"/>
        <w:gridCol w:w="5513"/>
      </w:tblGrid>
      <w:tr w:rsidR="00CC3D55" w14:paraId="178DEAEA" w14:textId="77777777">
        <w:tc>
          <w:tcPr>
            <w:tcW w:w="3220" w:type="dxa"/>
          </w:tcPr>
          <w:p w14:paraId="3AE5982D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Kementerian Negara/Lembaga</w:t>
            </w:r>
          </w:p>
        </w:tc>
        <w:tc>
          <w:tcPr>
            <w:tcW w:w="283" w:type="dxa"/>
          </w:tcPr>
          <w:p w14:paraId="150BBFB5" w14:textId="77777777" w:rsidR="00CC3D55" w:rsidRDefault="00000000">
            <w:pPr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7EC6468F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Kementerian Pendidikan,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Kebudayaan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Riset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</w:tr>
      <w:tr w:rsidR="00CC3D55" w14:paraId="16A6118D" w14:textId="77777777">
        <w:tc>
          <w:tcPr>
            <w:tcW w:w="3220" w:type="dxa"/>
          </w:tcPr>
          <w:p w14:paraId="3A79DC5D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Eselon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  <w:p w14:paraId="7007AEF4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14:paraId="71CFB84E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8DE774E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1993C5A1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Direktorat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Jenderal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Vokasi</w:t>
            </w:r>
            <w:proofErr w:type="spellEnd"/>
          </w:p>
          <w:p w14:paraId="5511603E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Negeri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Madiun</w:t>
            </w:r>
            <w:proofErr w:type="spellEnd"/>
          </w:p>
        </w:tc>
      </w:tr>
      <w:tr w:rsidR="00CC3D55" w14:paraId="6A563A6F" w14:textId="77777777">
        <w:tc>
          <w:tcPr>
            <w:tcW w:w="3220" w:type="dxa"/>
          </w:tcPr>
          <w:p w14:paraId="7BFC1EB1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283" w:type="dxa"/>
          </w:tcPr>
          <w:p w14:paraId="12326FA7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33F21D2E" w14:textId="2CCBB776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023.DL Program Pendidikan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Vokasi</w:t>
            </w:r>
            <w:proofErr w:type="spellEnd"/>
          </w:p>
        </w:tc>
      </w:tr>
      <w:tr w:rsidR="00CC3D55" w14:paraId="0FBB3A3D" w14:textId="77777777">
        <w:tc>
          <w:tcPr>
            <w:tcW w:w="3220" w:type="dxa"/>
          </w:tcPr>
          <w:p w14:paraId="090CB488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Sasaran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</w:t>
            </w:r>
          </w:p>
        </w:tc>
        <w:tc>
          <w:tcPr>
            <w:tcW w:w="283" w:type="dxa"/>
          </w:tcPr>
          <w:p w14:paraId="477670B7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25CEF5DF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partisipasi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menengah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</w:p>
        </w:tc>
      </w:tr>
      <w:tr w:rsidR="00CC3D55" w14:paraId="6630A57A" w14:textId="77777777">
        <w:tc>
          <w:tcPr>
            <w:tcW w:w="3220" w:type="dxa"/>
          </w:tcPr>
          <w:p w14:paraId="1CB601EA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Kinerja Program</w:t>
            </w:r>
          </w:p>
        </w:tc>
        <w:tc>
          <w:tcPr>
            <w:tcW w:w="283" w:type="dxa"/>
          </w:tcPr>
          <w:p w14:paraId="0D7439FD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3EE1596E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Angka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Partisipasi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Kasar (APK)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jenjang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Sederajat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termiskin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terkaya</w:t>
            </w:r>
            <w:proofErr w:type="spellEnd"/>
          </w:p>
        </w:tc>
      </w:tr>
      <w:tr w:rsidR="00CC3D55" w14:paraId="44523F9B" w14:textId="77777777">
        <w:tc>
          <w:tcPr>
            <w:tcW w:w="3220" w:type="dxa"/>
          </w:tcPr>
          <w:p w14:paraId="73493553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5A8FA298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535D7B5B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4466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Tinggi Negeri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Vokasi</w:t>
            </w:r>
            <w:proofErr w:type="spellEnd"/>
          </w:p>
        </w:tc>
      </w:tr>
      <w:tr w:rsidR="00CC3D55" w14:paraId="4610F184" w14:textId="77777777">
        <w:tc>
          <w:tcPr>
            <w:tcW w:w="3220" w:type="dxa"/>
          </w:tcPr>
          <w:p w14:paraId="225EE637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Sasaran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2DB29BB5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380C2C6C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lulusan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</w:p>
        </w:tc>
      </w:tr>
      <w:tr w:rsidR="00CC3D55" w14:paraId="5F2884E6" w14:textId="77777777">
        <w:tc>
          <w:tcPr>
            <w:tcW w:w="3220" w:type="dxa"/>
          </w:tcPr>
          <w:p w14:paraId="130E3D55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Kinerja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24539A55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3654680D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lulusan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S1 dan D4/D3/D2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menghabiskan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 (dua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meraih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nasional</w:t>
            </w:r>
            <w:proofErr w:type="spellEnd"/>
          </w:p>
        </w:tc>
      </w:tr>
      <w:tr w:rsidR="00CC3D55" w14:paraId="14EBB425" w14:textId="77777777">
        <w:tc>
          <w:tcPr>
            <w:tcW w:w="3220" w:type="dxa"/>
          </w:tcPr>
          <w:p w14:paraId="307F6504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</w:t>
            </w:r>
          </w:p>
        </w:tc>
        <w:tc>
          <w:tcPr>
            <w:tcW w:w="283" w:type="dxa"/>
          </w:tcPr>
          <w:p w14:paraId="22530ECA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676B2808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4466.QEI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Lembaga</w:t>
            </w:r>
          </w:p>
        </w:tc>
      </w:tr>
      <w:tr w:rsidR="00CC3D55" w14:paraId="3622173E" w14:textId="77777777">
        <w:tc>
          <w:tcPr>
            <w:tcW w:w="3220" w:type="dxa"/>
          </w:tcPr>
          <w:p w14:paraId="316A9EDF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KRO</w:t>
            </w:r>
          </w:p>
        </w:tc>
        <w:tc>
          <w:tcPr>
            <w:tcW w:w="283" w:type="dxa"/>
          </w:tcPr>
          <w:p w14:paraId="625DAA06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3E50A04A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PTN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BOPTN</w:t>
            </w:r>
          </w:p>
        </w:tc>
      </w:tr>
      <w:tr w:rsidR="00CC3D55" w14:paraId="132795D7" w14:textId="77777777">
        <w:tc>
          <w:tcPr>
            <w:tcW w:w="3220" w:type="dxa"/>
          </w:tcPr>
          <w:p w14:paraId="54E26FA0" w14:textId="1E49FBD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 (RO)</w:t>
            </w:r>
          </w:p>
        </w:tc>
        <w:tc>
          <w:tcPr>
            <w:tcW w:w="283" w:type="dxa"/>
          </w:tcPr>
          <w:p w14:paraId="0DE13F9E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155258DB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4466.BEI.004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(BOPTN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C3D55" w14:paraId="3676792F" w14:textId="77777777">
        <w:tc>
          <w:tcPr>
            <w:tcW w:w="3220" w:type="dxa"/>
          </w:tcPr>
          <w:p w14:paraId="70AC0922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12E747C1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4DB867E4" w14:textId="69978F9B" w:rsidR="00CC3D55" w:rsidRDefault="0033113E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33113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Pemilihan</w:t>
            </w:r>
            <w:proofErr w:type="spellEnd"/>
            <w:r w:rsidRPr="0033113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Raya </w:t>
            </w:r>
            <w:proofErr w:type="spellStart"/>
            <w:r w:rsidRPr="0033113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Mahasiswa</w:t>
            </w:r>
            <w:proofErr w:type="spellEnd"/>
          </w:p>
        </w:tc>
      </w:tr>
      <w:tr w:rsidR="00CC3D55" w14:paraId="5A9E1E2A" w14:textId="77777777">
        <w:tc>
          <w:tcPr>
            <w:tcW w:w="3220" w:type="dxa"/>
          </w:tcPr>
          <w:p w14:paraId="7A13D45E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Volume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65C7013F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1E87CBB2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(Satu) </w:t>
            </w:r>
          </w:p>
        </w:tc>
      </w:tr>
      <w:tr w:rsidR="00CC3D55" w14:paraId="3A48474B" w14:textId="77777777">
        <w:tc>
          <w:tcPr>
            <w:tcW w:w="3220" w:type="dxa"/>
          </w:tcPr>
          <w:p w14:paraId="7EF81B6D" w14:textId="77777777" w:rsidR="00CC3D55" w:rsidRDefault="00000000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F413390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3" w:type="dxa"/>
          </w:tcPr>
          <w:p w14:paraId="5363E4AB" w14:textId="77777777" w:rsidR="00CC3D55" w:rsidRDefault="00000000">
            <w:pPr>
              <w:widowControl w:val="0"/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</w:tr>
    </w:tbl>
    <w:p w14:paraId="01E3D38E" w14:textId="77777777" w:rsidR="00CC3D55" w:rsidRDefault="00CC3D5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3790C1" w14:textId="77777777" w:rsidR="00CC3D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1AB90F5D" w14:textId="77777777" w:rsidR="00CC3D5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Dasar Hukum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</w:p>
    <w:p w14:paraId="488F25B2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Negara;</w:t>
      </w:r>
    </w:p>
    <w:p w14:paraId="36A5FF5F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Nasional;</w:t>
      </w:r>
    </w:p>
    <w:p w14:paraId="1942B3F5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Perbendaharaan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Negara;</w:t>
      </w:r>
    </w:p>
    <w:p w14:paraId="2EFE8CAE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Pembangunan Nasional;</w:t>
      </w:r>
    </w:p>
    <w:p w14:paraId="7667BE68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Pembangunan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 Nasional (RPJPN) 2005-2025;</w:t>
      </w:r>
    </w:p>
    <w:p w14:paraId="05009BC3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364449C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Kementerian Negara/Lembaga;</w:t>
      </w:r>
    </w:p>
    <w:p w14:paraId="38A8D410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Pendidikan; </w:t>
      </w:r>
    </w:p>
    <w:p w14:paraId="3FDC36EA" w14:textId="54D7A8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RKA-K/L;</w:t>
      </w:r>
    </w:p>
    <w:p w14:paraId="7E338552" w14:textId="174F3602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Pendidikan;</w:t>
      </w:r>
    </w:p>
    <w:p w14:paraId="198EA496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Barang/Jasa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04CC378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Kementerian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BF3962D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Pembangunan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2020-2024;</w:t>
      </w:r>
    </w:p>
    <w:p w14:paraId="7AD53667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No. 60/PMK.02/2021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2022;</w:t>
      </w:r>
    </w:p>
    <w:p w14:paraId="60950993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199/PMK.02/2021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9D257E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Kementerian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37B42B7D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Kementerian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2020-2024.</w:t>
      </w:r>
    </w:p>
    <w:p w14:paraId="15F536A6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Teknis Kementerian Pendidikan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3E48C8" w14:textId="77777777" w:rsidR="00CC3D55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Menteri Pendidikan,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Riset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Kementerian Pendidikan,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Riset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7B0FA1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13476A" w14:textId="77777777" w:rsidR="00CC3D5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 Umum</w:t>
      </w:r>
    </w:p>
    <w:p w14:paraId="31A782A1" w14:textId="77777777" w:rsidR="00CC3D55" w:rsidRDefault="00000000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Republik Indonesia No. 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Tinggi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Tinggi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diploma,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sarjana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magister,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spesialis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 Negeri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Swasta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4B1B28" w14:textId="77777777" w:rsidR="00CC3D55" w:rsidRDefault="00000000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65D77A5" w14:textId="77777777" w:rsidR="00CC3D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C3AB92" w14:textId="77777777" w:rsidR="00CC3D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Akademik;</w:t>
      </w:r>
    </w:p>
    <w:p w14:paraId="5F99B41D" w14:textId="77777777" w:rsidR="00CC3D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penjaminan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69F9F98" w14:textId="77777777" w:rsidR="00CC3D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54BA42A4" w14:textId="77777777" w:rsidR="00CC3D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9B5ECE" w14:textId="77777777" w:rsidR="00CC3D55" w:rsidRDefault="00CC3D55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0B46A" w14:textId="77777777" w:rsidR="00CC3D5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dinamika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agent of change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terpelajar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ekstern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non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UKM.</w:t>
      </w:r>
    </w:p>
    <w:p w14:paraId="09662D77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AD160" w14:textId="77777777" w:rsidR="00CC3D5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kecendekiawanan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kepribadian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oleh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keleluasaan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6F0A9E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738D2" w14:textId="52CE2580" w:rsidR="00CC3D55" w:rsidRDefault="00000000">
      <w:pPr>
        <w:ind w:left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113E" w:rsidRPr="0033113E">
        <w:rPr>
          <w:rFonts w:ascii="Times New Roman" w:eastAsia="Times New Roman" w:hAnsi="Times New Roman" w:cs="Times New Roman"/>
          <w:sz w:val="24"/>
          <w:szCs w:val="24"/>
        </w:rPr>
        <w:t>Komisi</w:t>
      </w:r>
      <w:proofErr w:type="spellEnd"/>
      <w:r w:rsidR="0033113E" w:rsidRPr="00331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113E" w:rsidRPr="0033113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33113E" w:rsidRPr="0033113E">
        <w:rPr>
          <w:rFonts w:ascii="Times New Roman" w:eastAsia="Times New Roman" w:hAnsi="Times New Roman" w:cs="Times New Roman"/>
          <w:sz w:val="24"/>
          <w:szCs w:val="24"/>
        </w:rPr>
        <w:t xml:space="preserve"> Umum </w:t>
      </w:r>
      <w:proofErr w:type="spellStart"/>
      <w:r w:rsidR="0033113E" w:rsidRPr="0033113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31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Madiun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legislatif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yudikatif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Madiun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78/04/PL33.001/KM/2022.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14:paraId="7B4BBFEE" w14:textId="3366D2B9" w:rsidR="00CC3D55" w:rsidRDefault="00000000">
      <w:pPr>
        <w:tabs>
          <w:tab w:val="left" w:pos="540"/>
        </w:tabs>
        <w:spacing w:after="0"/>
        <w:ind w:left="43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(Satu),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dibebankan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DIPA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Madiun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 w:rsidR="00C2236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Rp 4.050.000,00 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Juta Lima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Ribu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Rupiah).</w:t>
      </w:r>
    </w:p>
    <w:p w14:paraId="240F0007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471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E80DC0A" w14:textId="46010FD1" w:rsidR="00CC3D5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4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113E" w:rsidRPr="000E22B9">
        <w:rPr>
          <w:rFonts w:ascii="Times New Roman" w:eastAsia="Times New Roman" w:hAnsi="Times New Roman" w:cs="Times New Roman"/>
          <w:i/>
          <w:sz w:val="24"/>
          <w:szCs w:val="24"/>
        </w:rPr>
        <w:t>Pemilihan</w:t>
      </w:r>
      <w:proofErr w:type="spellEnd"/>
      <w:r w:rsidR="0033113E" w:rsidRPr="000E22B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E22B9" w:rsidRPr="000E22B9">
        <w:rPr>
          <w:rFonts w:ascii="Times New Roman" w:eastAsia="Times New Roman" w:hAnsi="Times New Roman" w:cs="Times New Roman"/>
          <w:i/>
          <w:sz w:val="24"/>
          <w:szCs w:val="24"/>
        </w:rPr>
        <w:t xml:space="preserve">Raya </w:t>
      </w:r>
      <w:proofErr w:type="spellStart"/>
      <w:r w:rsidR="000E22B9" w:rsidRPr="000E22B9">
        <w:rPr>
          <w:rFonts w:ascii="Times New Roman" w:eastAsia="Times New Roman" w:hAnsi="Times New Roman" w:cs="Times New Roman"/>
          <w:i/>
          <w:sz w:val="24"/>
          <w:szCs w:val="24"/>
        </w:rPr>
        <w:t>Mahasiswa</w:t>
      </w:r>
      <w:proofErr w:type="spellEnd"/>
      <w:r w:rsidR="000E22B9" w:rsidRPr="000E22B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22B9" w:rsidRPr="000E22B9">
        <w:rPr>
          <w:rFonts w:ascii="Times New Roman" w:eastAsia="Times New Roman" w:hAnsi="Times New Roman" w:cs="Times New Roman"/>
          <w:sz w:val="24"/>
          <w:szCs w:val="24"/>
        </w:rPr>
        <w:t>Komisi</w:t>
      </w:r>
      <w:proofErr w:type="spellEnd"/>
      <w:r w:rsidR="000E22B9" w:rsidRPr="000E2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22B9" w:rsidRPr="000E22B9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0E22B9" w:rsidRPr="000E22B9">
        <w:rPr>
          <w:rFonts w:ascii="Times New Roman" w:eastAsia="Times New Roman" w:hAnsi="Times New Roman" w:cs="Times New Roman"/>
          <w:sz w:val="24"/>
          <w:szCs w:val="24"/>
        </w:rPr>
        <w:t xml:space="preserve"> Umum </w:t>
      </w:r>
      <w:proofErr w:type="spellStart"/>
      <w:r w:rsidR="000E22B9" w:rsidRPr="000E22B9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E2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berorganisasi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pengalamannya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pemateri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Anggota Dewan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Perwakilan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Poiliteknik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Madiun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 </w:t>
      </w:r>
    </w:p>
    <w:p w14:paraId="6086611E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8B4E9" w14:textId="77777777" w:rsidR="00CC3D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Penerima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Manfaat</w:t>
      </w:r>
    </w:p>
    <w:p w14:paraId="66510F88" w14:textId="77777777" w:rsidR="00CC3D5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Penerima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kemahasiswaan</w:t>
      </w:r>
      <w:proofErr w:type="spellEnd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berupa</w:t>
      </w:r>
      <w:proofErr w:type="spellEnd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3"/>
          <w:szCs w:val="23"/>
        </w:rPr>
        <w:t>Upgrading Skill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civitas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akademika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Madiun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ECDB9C9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5D24A4" w14:textId="77777777" w:rsidR="00CC3D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Strategi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1539281" w14:textId="77777777" w:rsidR="00CC3D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81A0F" w14:textId="77777777" w:rsidR="00CC3D5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swakelola</w:t>
      </w:r>
      <w:proofErr w:type="spellEnd"/>
    </w:p>
    <w:p w14:paraId="037C77F6" w14:textId="77777777" w:rsidR="00CC3D5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Waktu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12C8EB" w14:textId="77777777" w:rsidR="00CC3D5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0B2D42F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2EFBC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3BEE9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2FD2A7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11A9E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72A50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F3647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1F4F9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AFAA41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3697D" w14:textId="77777777" w:rsidR="00CC3D55" w:rsidRDefault="00CC3D55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997"/>
        <w:gridCol w:w="499"/>
        <w:gridCol w:w="500"/>
        <w:gridCol w:w="499"/>
        <w:gridCol w:w="500"/>
        <w:gridCol w:w="499"/>
        <w:gridCol w:w="500"/>
        <w:gridCol w:w="532"/>
        <w:gridCol w:w="467"/>
        <w:gridCol w:w="500"/>
        <w:gridCol w:w="499"/>
        <w:gridCol w:w="500"/>
        <w:gridCol w:w="505"/>
      </w:tblGrid>
      <w:tr w:rsidR="00CC3D55" w14:paraId="456E5BA5" w14:textId="77777777">
        <w:trPr>
          <w:trHeight w:val="215"/>
        </w:trPr>
        <w:tc>
          <w:tcPr>
            <w:tcW w:w="557" w:type="dxa"/>
            <w:vMerge w:val="restart"/>
            <w:shd w:val="clear" w:color="auto" w:fill="DBEEF3"/>
            <w:vAlign w:val="center"/>
          </w:tcPr>
          <w:p w14:paraId="4E92AD36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97" w:type="dxa"/>
            <w:vMerge w:val="restart"/>
            <w:shd w:val="clear" w:color="auto" w:fill="DBEEF3"/>
            <w:vAlign w:val="center"/>
          </w:tcPr>
          <w:p w14:paraId="6C0BD16C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000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</w:tcPr>
          <w:p w14:paraId="1C6E1027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Bulan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-</w:t>
            </w:r>
          </w:p>
        </w:tc>
      </w:tr>
      <w:tr w:rsidR="00CC3D55" w14:paraId="6EEE324C" w14:textId="77777777">
        <w:trPr>
          <w:trHeight w:val="354"/>
        </w:trPr>
        <w:tc>
          <w:tcPr>
            <w:tcW w:w="557" w:type="dxa"/>
            <w:vMerge/>
            <w:shd w:val="clear" w:color="auto" w:fill="DBEEF3"/>
            <w:vAlign w:val="center"/>
          </w:tcPr>
          <w:p w14:paraId="35BE9A9D" w14:textId="77777777" w:rsidR="00CC3D55" w:rsidRDefault="00CC3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97" w:type="dxa"/>
            <w:vMerge/>
            <w:shd w:val="clear" w:color="auto" w:fill="DBEEF3"/>
            <w:vAlign w:val="center"/>
          </w:tcPr>
          <w:p w14:paraId="6C3E526C" w14:textId="77777777" w:rsidR="00CC3D55" w:rsidRDefault="00CC3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DBEEF3"/>
          </w:tcPr>
          <w:p w14:paraId="2DECEDD3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shd w:val="clear" w:color="auto" w:fill="DBEEF3"/>
          </w:tcPr>
          <w:p w14:paraId="756C8367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99" w:type="dxa"/>
            <w:shd w:val="clear" w:color="auto" w:fill="DBEEF3"/>
          </w:tcPr>
          <w:p w14:paraId="5EF9F8C2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00" w:type="dxa"/>
            <w:shd w:val="clear" w:color="auto" w:fill="DBEEF3"/>
          </w:tcPr>
          <w:p w14:paraId="36C90B82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99" w:type="dxa"/>
            <w:shd w:val="clear" w:color="auto" w:fill="DBEEF3"/>
          </w:tcPr>
          <w:p w14:paraId="59CB5CAE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dxa"/>
            <w:shd w:val="clear" w:color="auto" w:fill="DBEEF3"/>
          </w:tcPr>
          <w:p w14:paraId="69AF72F9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32" w:type="dxa"/>
            <w:shd w:val="clear" w:color="auto" w:fill="DBEEF3"/>
          </w:tcPr>
          <w:p w14:paraId="0ADAACA7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DBEEF3"/>
          </w:tcPr>
          <w:p w14:paraId="021E2F41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shd w:val="clear" w:color="auto" w:fill="DBEEF3"/>
          </w:tcPr>
          <w:p w14:paraId="5B078703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499" w:type="dxa"/>
            <w:tcBorders>
              <w:right w:val="single" w:sz="4" w:space="0" w:color="000000"/>
            </w:tcBorders>
            <w:shd w:val="clear" w:color="auto" w:fill="DBEEF3"/>
          </w:tcPr>
          <w:p w14:paraId="4AD352FC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EF3"/>
          </w:tcPr>
          <w:p w14:paraId="282376AC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5" w:type="dxa"/>
            <w:tcBorders>
              <w:left w:val="single" w:sz="4" w:space="0" w:color="000000"/>
            </w:tcBorders>
            <w:shd w:val="clear" w:color="auto" w:fill="DBEEF3"/>
          </w:tcPr>
          <w:p w14:paraId="738C7840" w14:textId="77777777" w:rsidR="00CC3D5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</w:tr>
      <w:tr w:rsidR="00CC3D55" w14:paraId="5C737F36" w14:textId="77777777">
        <w:trPr>
          <w:trHeight w:val="472"/>
        </w:trPr>
        <w:tc>
          <w:tcPr>
            <w:tcW w:w="557" w:type="dxa"/>
          </w:tcPr>
          <w:p w14:paraId="430C81F9" w14:textId="77777777" w:rsidR="00CC3D55" w:rsidRDefault="00CC3D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4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7" w:type="dxa"/>
          </w:tcPr>
          <w:p w14:paraId="51E30ABE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Koordinasi</w:t>
            </w:r>
            <w:proofErr w:type="spellEnd"/>
          </w:p>
        </w:tc>
        <w:tc>
          <w:tcPr>
            <w:tcW w:w="499" w:type="dxa"/>
            <w:shd w:val="clear" w:color="auto" w:fill="auto"/>
          </w:tcPr>
          <w:p w14:paraId="0E1FFA56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7BD36A83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C2D69B"/>
          </w:tcPr>
          <w:p w14:paraId="78AA2969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C2D69B"/>
          </w:tcPr>
          <w:p w14:paraId="33038ADF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C2D69B"/>
          </w:tcPr>
          <w:p w14:paraId="29F34BE1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75B2B96C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</w:tcPr>
          <w:p w14:paraId="64805766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auto"/>
          </w:tcPr>
          <w:p w14:paraId="2AA5C4F0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3480FFB5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tcBorders>
              <w:right w:val="single" w:sz="4" w:space="0" w:color="000000"/>
            </w:tcBorders>
            <w:shd w:val="clear" w:color="auto" w:fill="auto"/>
          </w:tcPr>
          <w:p w14:paraId="53DE9865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894C23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single" w:sz="4" w:space="0" w:color="000000"/>
            </w:tcBorders>
            <w:shd w:val="clear" w:color="auto" w:fill="auto"/>
          </w:tcPr>
          <w:p w14:paraId="373A8E57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3D55" w14:paraId="5A0FC98D" w14:textId="77777777">
        <w:trPr>
          <w:trHeight w:val="515"/>
        </w:trPr>
        <w:tc>
          <w:tcPr>
            <w:tcW w:w="557" w:type="dxa"/>
          </w:tcPr>
          <w:p w14:paraId="55E43220" w14:textId="77777777" w:rsidR="00CC3D55" w:rsidRDefault="00CC3D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4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7" w:type="dxa"/>
          </w:tcPr>
          <w:p w14:paraId="2E63EAF7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Proposal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</w:p>
        </w:tc>
        <w:tc>
          <w:tcPr>
            <w:tcW w:w="499" w:type="dxa"/>
            <w:shd w:val="clear" w:color="auto" w:fill="auto"/>
          </w:tcPr>
          <w:p w14:paraId="4A39CA70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26181A2F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uto"/>
          </w:tcPr>
          <w:p w14:paraId="05B13B58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C2D69B"/>
          </w:tcPr>
          <w:p w14:paraId="7B3E5045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C2D69B"/>
          </w:tcPr>
          <w:p w14:paraId="209A54D7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5BB573A0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</w:tcPr>
          <w:p w14:paraId="5B21B1D1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auto"/>
          </w:tcPr>
          <w:p w14:paraId="36AF7FF5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05CCBC77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tcBorders>
              <w:right w:val="single" w:sz="4" w:space="0" w:color="000000"/>
            </w:tcBorders>
            <w:shd w:val="clear" w:color="auto" w:fill="auto"/>
          </w:tcPr>
          <w:p w14:paraId="1A66C845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1DCAE4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single" w:sz="4" w:space="0" w:color="000000"/>
            </w:tcBorders>
            <w:shd w:val="clear" w:color="auto" w:fill="auto"/>
          </w:tcPr>
          <w:p w14:paraId="35FD8623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3D55" w14:paraId="417B15C4" w14:textId="77777777">
        <w:trPr>
          <w:trHeight w:val="515"/>
        </w:trPr>
        <w:tc>
          <w:tcPr>
            <w:tcW w:w="557" w:type="dxa"/>
          </w:tcPr>
          <w:p w14:paraId="2AB40216" w14:textId="77777777" w:rsidR="00CC3D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4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997" w:type="dxa"/>
          </w:tcPr>
          <w:p w14:paraId="56C0D3FE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</w:p>
        </w:tc>
        <w:tc>
          <w:tcPr>
            <w:tcW w:w="499" w:type="dxa"/>
            <w:shd w:val="clear" w:color="auto" w:fill="auto"/>
          </w:tcPr>
          <w:p w14:paraId="3E91947C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71FA3162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uto"/>
          </w:tcPr>
          <w:p w14:paraId="264582BA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53B4D271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uto"/>
          </w:tcPr>
          <w:p w14:paraId="5AFA0DB8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C2D69B"/>
          </w:tcPr>
          <w:p w14:paraId="45ED2F6C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</w:tcPr>
          <w:p w14:paraId="37412B6F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auto"/>
          </w:tcPr>
          <w:p w14:paraId="5A2C1C10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693D6A60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tcBorders>
              <w:right w:val="single" w:sz="4" w:space="0" w:color="000000"/>
            </w:tcBorders>
            <w:shd w:val="clear" w:color="auto" w:fill="auto"/>
          </w:tcPr>
          <w:p w14:paraId="7426D989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7455DB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single" w:sz="4" w:space="0" w:color="000000"/>
            </w:tcBorders>
            <w:shd w:val="clear" w:color="auto" w:fill="auto"/>
          </w:tcPr>
          <w:p w14:paraId="370E7A6A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3D55" w14:paraId="12983FD8" w14:textId="77777777">
        <w:trPr>
          <w:trHeight w:val="515"/>
        </w:trPr>
        <w:tc>
          <w:tcPr>
            <w:tcW w:w="557" w:type="dxa"/>
          </w:tcPr>
          <w:p w14:paraId="29FED134" w14:textId="77777777" w:rsidR="00CC3D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4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997" w:type="dxa"/>
          </w:tcPr>
          <w:p w14:paraId="2FAC78EE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</w:p>
        </w:tc>
        <w:tc>
          <w:tcPr>
            <w:tcW w:w="499" w:type="dxa"/>
            <w:shd w:val="clear" w:color="auto" w:fill="auto"/>
          </w:tcPr>
          <w:p w14:paraId="06A80F6B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78641DE3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uto"/>
          </w:tcPr>
          <w:p w14:paraId="33DB7923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05C30E4F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uto"/>
          </w:tcPr>
          <w:p w14:paraId="270890F7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C2D69B"/>
          </w:tcPr>
          <w:p w14:paraId="0EAE2A47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C2D69B"/>
          </w:tcPr>
          <w:p w14:paraId="4A989167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auto"/>
          </w:tcPr>
          <w:p w14:paraId="5A0EEB51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</w:tcPr>
          <w:p w14:paraId="09666689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" w:type="dxa"/>
            <w:tcBorders>
              <w:right w:val="single" w:sz="4" w:space="0" w:color="000000"/>
            </w:tcBorders>
            <w:shd w:val="clear" w:color="auto" w:fill="auto"/>
          </w:tcPr>
          <w:p w14:paraId="38783CA8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BBDD48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single" w:sz="4" w:space="0" w:color="000000"/>
            </w:tcBorders>
            <w:shd w:val="clear" w:color="auto" w:fill="auto"/>
          </w:tcPr>
          <w:p w14:paraId="7D2514B4" w14:textId="77777777" w:rsidR="00CC3D55" w:rsidRDefault="00CC3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D5FE15" w14:textId="77777777" w:rsidR="00CC3D55" w:rsidRDefault="00CC3D5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169CF" w14:textId="77777777" w:rsidR="00CC3D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Keluaran</w:t>
      </w:r>
      <w:proofErr w:type="spellEnd"/>
    </w:p>
    <w:p w14:paraId="58C4FF8B" w14:textId="77777777" w:rsidR="00CC3D5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ind w:left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ouput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5 (Lima)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(Maret – Juli 2023).</w:t>
      </w:r>
    </w:p>
    <w:p w14:paraId="188C4D11" w14:textId="77777777" w:rsidR="00CC3D55" w:rsidRDefault="00CC3D55">
      <w:pPr>
        <w:tabs>
          <w:tab w:val="left" w:pos="540"/>
        </w:tabs>
        <w:spacing w:after="0"/>
        <w:ind w:left="567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9754949" w14:textId="77777777" w:rsidR="00CC3D55" w:rsidRDefault="00000000">
      <w:p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Diperlukan</w:t>
      </w:r>
      <w:proofErr w:type="spellEnd"/>
    </w:p>
    <w:p w14:paraId="038953A2" w14:textId="77777777" w:rsidR="00CC3D55" w:rsidRDefault="00000000">
      <w:pPr>
        <w:tabs>
          <w:tab w:val="left" w:pos="540"/>
        </w:tabs>
        <w:spacing w:after="0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Rp 4.050.000,00 (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Juta Lima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Ribu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Rupiah)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RAB.</w:t>
      </w:r>
    </w:p>
    <w:p w14:paraId="465A26B9" w14:textId="77777777" w:rsidR="00CC3D55" w:rsidRDefault="00CC3D55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8C5BE1" w14:textId="77777777" w:rsidR="00CC3D55" w:rsidRDefault="00CC3D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2AD83F5" w14:textId="77777777" w:rsidR="00CC3D55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CC3D55">
          <w:pgSz w:w="11906" w:h="16838"/>
          <w:pgMar w:top="992" w:right="1440" w:bottom="1276" w:left="1440" w:header="720" w:footer="221" w:gutter="0"/>
          <w:pgNumType w:start="0"/>
          <w:cols w:space="720"/>
        </w:sectPr>
      </w:pPr>
      <w:r>
        <w:br w:type="page"/>
      </w:r>
    </w:p>
    <w:p w14:paraId="75AC10D6" w14:textId="77777777" w:rsidR="00CC3D55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 xml:space="preserve">Lampiran: </w:t>
      </w:r>
    </w:p>
    <w:p w14:paraId="650EE2D7" w14:textId="77777777" w:rsidR="00CC3D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LEMBAR KERJA RENCANA ANGGARAN BIAYA</w:t>
      </w:r>
    </w:p>
    <w:p w14:paraId="0721511D" w14:textId="77777777" w:rsidR="00CC3D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 KERJA KEMAHASISWAAN</w:t>
      </w:r>
    </w:p>
    <w:p w14:paraId="24317471" w14:textId="77777777" w:rsidR="00CC3D5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TAHUN ANGGARAN 2023</w:t>
      </w:r>
    </w:p>
    <w:p w14:paraId="184CE1A7" w14:textId="77777777" w:rsidR="00CC3D55" w:rsidRDefault="00CC3D55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5699"/>
      </w:tblGrid>
      <w:tr w:rsidR="00CC3D55" w14:paraId="69F4FDA3" w14:textId="77777777">
        <w:trPr>
          <w:trHeight w:val="704"/>
        </w:trPr>
        <w:tc>
          <w:tcPr>
            <w:tcW w:w="3510" w:type="dxa"/>
          </w:tcPr>
          <w:p w14:paraId="58798BE6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Kementerian Negara/Lembaga</w:t>
            </w:r>
          </w:p>
        </w:tc>
        <w:tc>
          <w:tcPr>
            <w:tcW w:w="5699" w:type="dxa"/>
          </w:tcPr>
          <w:p w14:paraId="49F8D44A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Kementerian Pendidikan,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Kebudayaan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Riset,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</w:tr>
      <w:tr w:rsidR="00CC3D55" w14:paraId="301AD358" w14:textId="77777777">
        <w:trPr>
          <w:trHeight w:val="417"/>
        </w:trPr>
        <w:tc>
          <w:tcPr>
            <w:tcW w:w="3510" w:type="dxa"/>
          </w:tcPr>
          <w:p w14:paraId="76B33F7C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Eselon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5699" w:type="dxa"/>
          </w:tcPr>
          <w:p w14:paraId="5597801E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Direktorat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Jenderal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Vokasi</w:t>
            </w:r>
            <w:proofErr w:type="spellEnd"/>
          </w:p>
        </w:tc>
      </w:tr>
      <w:tr w:rsidR="00CC3D55" w14:paraId="525790B1" w14:textId="77777777">
        <w:trPr>
          <w:trHeight w:val="422"/>
        </w:trPr>
        <w:tc>
          <w:tcPr>
            <w:tcW w:w="3510" w:type="dxa"/>
          </w:tcPr>
          <w:p w14:paraId="102AA5A6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99" w:type="dxa"/>
          </w:tcPr>
          <w:p w14:paraId="4F217A24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Negeri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Madiun</w:t>
            </w:r>
            <w:proofErr w:type="spellEnd"/>
          </w:p>
        </w:tc>
      </w:tr>
      <w:tr w:rsidR="00CC3D55" w14:paraId="46E6B795" w14:textId="77777777">
        <w:trPr>
          <w:trHeight w:val="415"/>
        </w:trPr>
        <w:tc>
          <w:tcPr>
            <w:tcW w:w="3510" w:type="dxa"/>
          </w:tcPr>
          <w:p w14:paraId="0456B96F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Kemahasiswaan</w:t>
            </w:r>
            <w:proofErr w:type="spellEnd"/>
          </w:p>
        </w:tc>
        <w:tc>
          <w:tcPr>
            <w:tcW w:w="5699" w:type="dxa"/>
          </w:tcPr>
          <w:p w14:paraId="0E1496B8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DPM-KM PNM</w:t>
            </w:r>
          </w:p>
        </w:tc>
      </w:tr>
      <w:tr w:rsidR="00CC3D55" w14:paraId="78F7DEBA" w14:textId="77777777">
        <w:trPr>
          <w:trHeight w:val="421"/>
        </w:trPr>
        <w:tc>
          <w:tcPr>
            <w:tcW w:w="3510" w:type="dxa"/>
          </w:tcPr>
          <w:p w14:paraId="1C1DA573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5699" w:type="dxa"/>
          </w:tcPr>
          <w:p w14:paraId="3860E9D8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023.18.DL Program Pendidikan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Vokasi</w:t>
            </w:r>
            <w:proofErr w:type="spellEnd"/>
          </w:p>
        </w:tc>
      </w:tr>
      <w:tr w:rsidR="00CC3D55" w14:paraId="32B419DE" w14:textId="77777777">
        <w:trPr>
          <w:trHeight w:val="399"/>
        </w:trPr>
        <w:tc>
          <w:tcPr>
            <w:tcW w:w="3510" w:type="dxa"/>
          </w:tcPr>
          <w:p w14:paraId="58288EEA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Sasaran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99" w:type="dxa"/>
          </w:tcPr>
          <w:p w14:paraId="26FF7EE7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lulusan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</w:p>
        </w:tc>
      </w:tr>
      <w:tr w:rsidR="00CC3D55" w14:paraId="770DEF43" w14:textId="77777777">
        <w:trPr>
          <w:trHeight w:val="999"/>
        </w:trPr>
        <w:tc>
          <w:tcPr>
            <w:tcW w:w="3510" w:type="dxa"/>
          </w:tcPr>
          <w:p w14:paraId="42512B18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Kinerja</w:t>
            </w:r>
          </w:p>
        </w:tc>
        <w:tc>
          <w:tcPr>
            <w:tcW w:w="5699" w:type="dxa"/>
          </w:tcPr>
          <w:p w14:paraId="3EEF2291" w14:textId="77777777" w:rsidR="00CC3D55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lulusan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S1 dan D4/D3/D2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menghabiskan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 (dua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meraih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nasional</w:t>
            </w:r>
            <w:proofErr w:type="spellEnd"/>
          </w:p>
        </w:tc>
      </w:tr>
      <w:tr w:rsidR="00CC3D55" w14:paraId="73912647" w14:textId="77777777">
        <w:trPr>
          <w:trHeight w:val="418"/>
        </w:trPr>
        <w:tc>
          <w:tcPr>
            <w:tcW w:w="3510" w:type="dxa"/>
          </w:tcPr>
          <w:p w14:paraId="6CA0CE54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99" w:type="dxa"/>
          </w:tcPr>
          <w:p w14:paraId="7018696B" w14:textId="77777777" w:rsidR="00CC3D55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Upgrading Skill</w:t>
            </w:r>
          </w:p>
        </w:tc>
      </w:tr>
      <w:tr w:rsidR="00CC3D55" w14:paraId="78F3AEA4" w14:textId="77777777">
        <w:trPr>
          <w:trHeight w:val="397"/>
        </w:trPr>
        <w:tc>
          <w:tcPr>
            <w:tcW w:w="3510" w:type="dxa"/>
          </w:tcPr>
          <w:p w14:paraId="22766E1A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Volume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99" w:type="dxa"/>
          </w:tcPr>
          <w:p w14:paraId="346A9C1C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(Satu)</w:t>
            </w:r>
          </w:p>
        </w:tc>
      </w:tr>
      <w:tr w:rsidR="00CC3D55" w14:paraId="4CEAE22F" w14:textId="77777777">
        <w:trPr>
          <w:trHeight w:val="430"/>
        </w:trPr>
        <w:tc>
          <w:tcPr>
            <w:tcW w:w="3510" w:type="dxa"/>
          </w:tcPr>
          <w:p w14:paraId="377FCCEE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</w:t>
            </w:r>
          </w:p>
        </w:tc>
        <w:tc>
          <w:tcPr>
            <w:tcW w:w="5699" w:type="dxa"/>
          </w:tcPr>
          <w:p w14:paraId="3CE589F9" w14:textId="77777777" w:rsidR="00CC3D55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</w:tr>
    </w:tbl>
    <w:p w14:paraId="69F3FEE9" w14:textId="77777777" w:rsidR="00CC3D55" w:rsidRDefault="00CC3D55">
      <w:pPr>
        <w:tabs>
          <w:tab w:val="left" w:pos="8925"/>
        </w:tabs>
        <w:rPr>
          <w:color w:val="000000"/>
        </w:rPr>
      </w:pPr>
      <w:bookmarkStart w:id="4" w:name="_heading=h.2et92p0" w:colFirst="0" w:colLast="0"/>
      <w:bookmarkEnd w:id="4"/>
    </w:p>
    <w:bookmarkStart w:id="5" w:name="_heading=h.tyjcwt" w:colFirst="0" w:colLast="0"/>
    <w:bookmarkEnd w:id="5"/>
    <w:p w14:paraId="508728AE" w14:textId="77777777" w:rsidR="00CC3D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object w:dxaOrig="9195" w:dyaOrig="6405" w14:anchorId="2B570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pt;height:320.5pt" o:ole="">
            <v:imagedata r:id="rId11" o:title=""/>
          </v:shape>
          <o:OLEObject Type="Embed" ProgID="Excel.Sheet.12" ShapeID="_x0000_i1025" DrawAspect="Content" ObjectID="_1792769336" r:id="rId12"/>
        </w:object>
      </w:r>
    </w:p>
    <w:sectPr w:rsidR="00CC3D55">
      <w:headerReference w:type="default" r:id="rId13"/>
      <w:footerReference w:type="default" r:id="rId14"/>
      <w:pgSz w:w="11906" w:h="16838"/>
      <w:pgMar w:top="992" w:right="1440" w:bottom="1276" w:left="1440" w:header="720" w:footer="221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44951" w14:textId="77777777" w:rsidR="00D97930" w:rsidRDefault="00D97930">
      <w:pPr>
        <w:spacing w:after="0" w:line="240" w:lineRule="auto"/>
      </w:pPr>
      <w:r>
        <w:separator/>
      </w:r>
    </w:p>
  </w:endnote>
  <w:endnote w:type="continuationSeparator" w:id="0">
    <w:p w14:paraId="00282699" w14:textId="77777777" w:rsidR="00D97930" w:rsidRDefault="00D9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720F0" w14:textId="77777777" w:rsidR="00CC3D55" w:rsidRDefault="00CC3D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0B51D" w14:textId="77777777" w:rsidR="00D97930" w:rsidRDefault="00D97930">
      <w:pPr>
        <w:spacing w:after="0" w:line="240" w:lineRule="auto"/>
      </w:pPr>
      <w:r>
        <w:separator/>
      </w:r>
    </w:p>
  </w:footnote>
  <w:footnote w:type="continuationSeparator" w:id="0">
    <w:p w14:paraId="31603C83" w14:textId="77777777" w:rsidR="00D97930" w:rsidRDefault="00D9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EBF28" w14:textId="77777777" w:rsidR="00CC3D55" w:rsidRDefault="00CC3D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159A6"/>
    <w:multiLevelType w:val="multilevel"/>
    <w:tmpl w:val="ED264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10CC"/>
    <w:multiLevelType w:val="multilevel"/>
    <w:tmpl w:val="4F6E8EAE"/>
    <w:lvl w:ilvl="0">
      <w:start w:val="1"/>
      <w:numFmt w:val="lowerLetter"/>
      <w:lvlText w:val="%1."/>
      <w:lvlJc w:val="left"/>
      <w:pPr>
        <w:ind w:left="1526" w:hanging="360"/>
      </w:pPr>
    </w:lvl>
    <w:lvl w:ilvl="1">
      <w:start w:val="1"/>
      <w:numFmt w:val="lowerLetter"/>
      <w:lvlText w:val="%2."/>
      <w:lvlJc w:val="left"/>
      <w:pPr>
        <w:ind w:left="2246" w:hanging="360"/>
      </w:pPr>
    </w:lvl>
    <w:lvl w:ilvl="2">
      <w:start w:val="1"/>
      <w:numFmt w:val="lowerRoman"/>
      <w:lvlText w:val="%3."/>
      <w:lvlJc w:val="right"/>
      <w:pPr>
        <w:ind w:left="2966" w:hanging="180"/>
      </w:pPr>
    </w:lvl>
    <w:lvl w:ilvl="3">
      <w:start w:val="1"/>
      <w:numFmt w:val="decimal"/>
      <w:lvlText w:val="%4."/>
      <w:lvlJc w:val="left"/>
      <w:pPr>
        <w:ind w:left="3686" w:hanging="360"/>
      </w:pPr>
    </w:lvl>
    <w:lvl w:ilvl="4">
      <w:start w:val="1"/>
      <w:numFmt w:val="lowerLetter"/>
      <w:lvlText w:val="%5."/>
      <w:lvlJc w:val="left"/>
      <w:pPr>
        <w:ind w:left="4406" w:hanging="360"/>
      </w:pPr>
    </w:lvl>
    <w:lvl w:ilvl="5">
      <w:start w:val="1"/>
      <w:numFmt w:val="lowerRoman"/>
      <w:lvlText w:val="%6."/>
      <w:lvlJc w:val="right"/>
      <w:pPr>
        <w:ind w:left="5126" w:hanging="180"/>
      </w:pPr>
    </w:lvl>
    <w:lvl w:ilvl="6">
      <w:start w:val="1"/>
      <w:numFmt w:val="decimal"/>
      <w:lvlText w:val="%7."/>
      <w:lvlJc w:val="left"/>
      <w:pPr>
        <w:ind w:left="5846" w:hanging="360"/>
      </w:pPr>
    </w:lvl>
    <w:lvl w:ilvl="7">
      <w:start w:val="1"/>
      <w:numFmt w:val="lowerLetter"/>
      <w:lvlText w:val="%8."/>
      <w:lvlJc w:val="left"/>
      <w:pPr>
        <w:ind w:left="6566" w:hanging="360"/>
      </w:pPr>
    </w:lvl>
    <w:lvl w:ilvl="8">
      <w:start w:val="1"/>
      <w:numFmt w:val="lowerRoman"/>
      <w:lvlText w:val="%9."/>
      <w:lvlJc w:val="right"/>
      <w:pPr>
        <w:ind w:left="7286" w:hanging="180"/>
      </w:pPr>
    </w:lvl>
  </w:abstractNum>
  <w:abstractNum w:abstractNumId="2" w15:restartNumberingAfterBreak="0">
    <w:nsid w:val="4D2F4A60"/>
    <w:multiLevelType w:val="multilevel"/>
    <w:tmpl w:val="1A6875EE"/>
    <w:lvl w:ilvl="0">
      <w:start w:val="2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1B00B87"/>
    <w:multiLevelType w:val="multilevel"/>
    <w:tmpl w:val="F6D6250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64E3899"/>
    <w:multiLevelType w:val="multilevel"/>
    <w:tmpl w:val="2878F60C"/>
    <w:lvl w:ilvl="0">
      <w:start w:val="1"/>
      <w:numFmt w:val="upperLetter"/>
      <w:pStyle w:val="Heading1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upperLetter"/>
      <w:pStyle w:val="Heading3"/>
      <w:lvlText w:val="%3."/>
      <w:lvlJc w:val="left"/>
      <w:pPr>
        <w:ind w:left="2340" w:hanging="360"/>
      </w:pPr>
    </w:lvl>
    <w:lvl w:ilvl="3">
      <w:start w:val="1"/>
      <w:numFmt w:val="lowerLetter"/>
      <w:pStyle w:val="Heading4"/>
      <w:lvlText w:val="%4."/>
      <w:lvlJc w:val="left"/>
      <w:pPr>
        <w:ind w:left="2970" w:hanging="360"/>
      </w:pPr>
      <w:rPr>
        <w:b w:val="0"/>
      </w:rPr>
    </w:lvl>
    <w:lvl w:ilvl="4">
      <w:start w:val="1"/>
      <w:numFmt w:val="decimal"/>
      <w:pStyle w:val="Heading5"/>
      <w:lvlText w:val="%5)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lef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left"/>
      <w:pPr>
        <w:ind w:left="6480" w:hanging="180"/>
      </w:pPr>
    </w:lvl>
  </w:abstractNum>
  <w:abstractNum w:abstractNumId="5" w15:restartNumberingAfterBreak="0">
    <w:nsid w:val="69453EA1"/>
    <w:multiLevelType w:val="multilevel"/>
    <w:tmpl w:val="EC7031B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6727">
    <w:abstractNumId w:val="1"/>
  </w:num>
  <w:num w:numId="2" w16cid:durableId="1283808604">
    <w:abstractNumId w:val="5"/>
  </w:num>
  <w:num w:numId="3" w16cid:durableId="785928424">
    <w:abstractNumId w:val="0"/>
  </w:num>
  <w:num w:numId="4" w16cid:durableId="1284576573">
    <w:abstractNumId w:val="3"/>
  </w:num>
  <w:num w:numId="5" w16cid:durableId="1756585178">
    <w:abstractNumId w:val="4"/>
  </w:num>
  <w:num w:numId="6" w16cid:durableId="681207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55"/>
    <w:rsid w:val="000E22B9"/>
    <w:rsid w:val="0033113E"/>
    <w:rsid w:val="0059069D"/>
    <w:rsid w:val="00C22362"/>
    <w:rsid w:val="00CC3D55"/>
    <w:rsid w:val="00D97930"/>
    <w:rsid w:val="00E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245"/>
  <w15:docId w15:val="{573F7F38-0FD9-441B-BCCD-C6782D88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18"/>
  </w:style>
  <w:style w:type="paragraph" w:styleId="Heading1">
    <w:name w:val="heading 1"/>
    <w:basedOn w:val="Normal"/>
    <w:next w:val="Normal"/>
    <w:link w:val="Heading1Char"/>
    <w:uiPriority w:val="9"/>
    <w:qFormat/>
    <w:rsid w:val="005B4463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63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6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6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6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6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6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6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6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877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C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5C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64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C1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C1F"/>
    <w:rPr>
      <w:sz w:val="22"/>
      <w:szCs w:val="22"/>
      <w:lang w:val="en-US" w:eastAsia="en-US"/>
    </w:rPr>
  </w:style>
  <w:style w:type="paragraph" w:styleId="ListParagraph">
    <w:name w:val="List Paragraph"/>
    <w:aliases w:val="Dot pt,F5 List Paragraph,List Paragraph Char Char Char,Indicator Text,Numbered Para 1,Bullet 1,List Paragraph12,Bullet Points,MAIN CONTENT,Normal ind,Tabel,point-point,List Paragraph1,kepala,Recommendation,No Spacing1,List Paragraph11"/>
    <w:basedOn w:val="Normal"/>
    <w:link w:val="ListParagraphChar"/>
    <w:uiPriority w:val="1"/>
    <w:qFormat/>
    <w:rsid w:val="00054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46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6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6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63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6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6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table" w:customStyle="1" w:styleId="TableGridLight1">
    <w:name w:val="Table Grid Light1"/>
    <w:basedOn w:val="TableNormal"/>
    <w:uiPriority w:val="40"/>
    <w:rsid w:val="004F1E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aliases w:val="Dot pt Char,F5 List Paragraph Char,List Paragraph Char Char Char Char,Indicator Text Char,Numbered Para 1 Char,Bullet 1 Char,List Paragraph12 Char,Bullet Points Char,MAIN CONTENT Char,Normal ind Char,Tabel Char,point-point Char"/>
    <w:link w:val="ListParagraph"/>
    <w:uiPriority w:val="1"/>
    <w:rsid w:val="009E1B40"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8B2FAD"/>
  </w:style>
  <w:style w:type="character" w:styleId="Hyperlink">
    <w:name w:val="Hyperlink"/>
    <w:basedOn w:val="DefaultParagraphFont"/>
    <w:uiPriority w:val="99"/>
    <w:semiHidden/>
    <w:unhideWhenUsed/>
    <w:rsid w:val="00277B66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157FC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13YyhvXinkd2VevnvNWdtK4/xg==">CgMxLjAyCGguZ2pkZ3hzMgloLjMwajB6bGwyCWguMWZvYjl0ZTIJaC4zem55c2g3MgloLjJldDkycDAyCGgudHlqY3d0OAByITFYWDI2UmZOWnp5NWx6ZmRaWVlVQ2dhZFRyZmZjektfcg==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</dc:creator>
  <cp:lastModifiedBy>Amindita Maestri</cp:lastModifiedBy>
  <cp:revision>3</cp:revision>
  <dcterms:created xsi:type="dcterms:W3CDTF">2023-10-13T12:00:00Z</dcterms:created>
  <dcterms:modified xsi:type="dcterms:W3CDTF">2024-11-10T11:43:00Z</dcterms:modified>
</cp:coreProperties>
</file>