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Cybersécurité des liaisons de données</w:t>
      </w:r>
    </w:p>
    <w:p>
      <w:pPr>
        <w:pStyle w:val="Heading2"/>
      </w:pPr>
      <w:r>
        <w:t>Menaces</w:t>
      </w:r>
    </w:p>
    <w:p>
      <w:r>
        <w:t>Le document recense les menaces sur une liaison de données embarquée, notamment l'altération de paquets, la compromission de paramètres et la perte d'intégrité des journaux. Le document recense les menaces sur une liaison de données embarquée, notamment l'altération de paquets, la compromission de paramètres et la perte d'intégrité des journaux. Le dossier conserve une traçabilité complète entre exigences, essais et décisions d'architecture. Le document recense les menaces sur une liaison de données embarquée, notamment l'altération de paquets, la compromission de paramètres et la perte d'intégrité des journaux. Les résultats sont archivés avec des critères d'acceptation, des limites connues et des références de test.</w:t>
      </w:r>
    </w:p>
    <w:p>
      <w:r>
        <w:t>Le suivi des risques associe toujours le calendrier de validation, la charge de calcul embarquée, les contraintes de sécurité et la qualité des données de test. Le suivi des risques associe toujours le calendrier de validation, la charge de calcul embarquée, les contraintes de sécurité et la qualité des données de test. Le dossier conserve une traçabilité complète entre exigences, essais et décisions d'architecture. Le suivi des risques associe toujours le calendrier de validation, la charge de calcul embarquée, les contraintes de sécurité et la qualité des données de test. Les résultats sont archivés avec des critères d'acceptation, des limites connues et des références de test.</w:t>
      </w:r>
    </w:p>
    <w:p>
      <w:pPr>
        <w:pStyle w:val="Heading2"/>
      </w:pPr>
      <w:r>
        <w:t>Mesures de protection</w:t>
      </w:r>
    </w:p>
    <w:p>
      <w:r>
        <w:t>Les protections combinent authentification, contrôle d'intégrité, segmentation réseau et journalisation sécurisée. Le modèle de menace distingue les accès autorisés, les tentatives d'injection et les attaques de rebond. Les protections combinent authentification, contrôle d'intégrité, segmentation réseau et journalisation sécurisée. Le modèle de menace distingue les accès autorisés, les tentatives d'injection et les attaques de rebond. Le dossier conserve une traçabilité complète entre exigences, essais et décisions d'architecture. Les protections combinent authentification, contrôle d'intégrité, segmentation réseau et journalisation sécurisée. Le modèle de menace distingue les accès autorisés, les tentatives d'injection et les attaques de rebond. Les résultats sont archivés avec des critères d'acceptation, des limites connues et des références de test.</w:t>
      </w:r>
    </w:p>
    <w:p>
      <w:r>
        <w:t>Le suivi des risques associe toujours le calendrier de validation, la charge de calcul embarquée, les contraintes de sécurité et la qualité des données de test. Le suivi des risques associe toujours le calendrier de validation, la charge de calcul embarquée, les contraintes de sécurité et la qualité des données de test. Le dossier conserve une traçabilité complète entre exigences, essais et décisions d'architecture. Le suivi des risques associe toujours le calendrier de validation, la charge de calcul embarquée, les contraintes de sécurité et la qualité des données de test. Les résultats sont archivés avec des critères d'acceptation, des limites connues et des références de test.</w:t>
      </w:r>
    </w:p>
    <w:p>
      <w:pPr>
        <w:pStyle w:val="Heading2"/>
      </w:pPr>
      <w:r>
        <w:t>Validation</w:t>
      </w:r>
    </w:p>
    <w:p>
      <w:r>
        <w:t>La validation doit démontrer que les mécanismes de sécurité n'affectent pas la latence critique ni la disponibilité des services temps réel. La validation doit démontrer que les mécanismes de sécurité n'affectent pas la latence critique ni la disponibilité des services temps réel. Le dossier conserve une traçabilité complète entre exigences, essais et décisions d'architecture. La validation doit démontrer que les mécanismes de sécurité n'affectent pas la latence critique ni la disponibilité des services temps réel. Les résultats sont archivés avec des critères d'acceptation, des limites connues et des références de test.</w:t>
      </w:r>
    </w:p>
    <w:p>
      <w:r>
        <w:t>Le suivi des risques associe toujours le calendrier de validation, la charge de calcul embarquée, les contraintes de sécurité et la qualité des données de test. Le suivi des risques associe toujours le calendrier de validation, la charge de calcul embarquée, les contraintes de sécurité et la qualité des données de test. Le dossier conserve une traçabilité complète entre exigences, essais et décisions d'architecture. Le suivi des risques associe toujours le calendrier de validation, la charge de calcul embarquée, les contraintes de sécurité et la qualité des données de test. Les résultats sont archivés avec des critères d'acceptation, des limites connues et des références de test.</w:t>
      </w:r>
    </w:p>
    <w:p>
      <w:pPr>
        <w:pStyle w:val="Heading2"/>
      </w:pPr>
      <w:r>
        <w:t>Suivi</w:t>
      </w:r>
    </w:p>
    <w:p>
      <w:r>
        <w:t>Le suivi recommandé impose des revues régulières, une mise à jour des clés et des tests de résistance sur les scénarios de perte de liaison. Le suivi recommandé impose des revues régulières, une mise à jour des clés et des tests de résistance sur les scénarios de perte de liaison. Le dossier conserve une traçabilité complète entre exigences, essais et décisions d'architecture. Le suivi recommandé impose des revues régulières, une mise à jour des clés et des tests de résistance sur les scénarios de perte de liaison. Les résultats sont archivés avec des critères d'acceptation, des limites connues et des références de test.</w:t>
      </w:r>
    </w:p>
    <w:p>
      <w:r>
        <w:t>Le suivi des risques associe toujours le calendrier de validation, la charge de calcul embarquée, les contraintes de sécurité et la qualité des données de test. Le suivi des risques associe toujours le calendrier de validation, la charge de calcul embarquée, les contraintes de sécurité et la qualité des données de test. Le dossier conserve une traçabilité complète entre exigences, essais et décisions d'architecture. Le suivi des risques associe toujours le calendrier de validation, la charge de calcul embarquée, les contraintes de sécurité et la qualité des données de test. Les résultats sont archivés avec des critères d'acceptation, des limites connues et des références de test.</w:t>
      </w:r>
    </w:p>
    <w:p>
      <w:pPr>
        <w:pStyle w:val="Heading2"/>
      </w:pPr>
      <w:r>
        <w:t>Synthèse opérationnelle</w:t>
      </w:r>
    </w:p>
    <w:p>
      <w:r>
        <w:t>La recommandation globale est de poursuivre les essais sur un banc représentatif, de consolider les sources de données et de conserver une traçabilité documentaire stricte. La recommandation globale est de poursuivre les essais sur un banc représentatif, de consolider les sources de données et de conserver une traçabilité documentaire stricte. Le dossier conserve une traçabilité complète entre exigences, essais et décisions d'architecture. La recommandation globale est de poursuivre les essais sur un banc représentatif, de consolider les sources de données et de conserver une traçabilité documentaire stricte. Les résultats sont archivés avec des critères d'acceptation, des limites connues et des références de 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Cybersécurité des liaisons de données</dc:title>
  <dc:subject/>
  <dc:creator>Assistant de connaissances R&amp;D</dc:creator>
  <cp:keywords/>
  <dc:description>generated by python-docx</dc:description>
  <cp:lastModifiedBy/>
  <cp:revision>1</cp:revision>
  <dcterms:created xsi:type="dcterms:W3CDTF">2013-12-23T23:15:00Z</dcterms:created>
  <dcterms:modified xsi:type="dcterms:W3CDTF">2013-12-23T23:15:00Z</dcterms:modified>
  <cp:category/>
</cp:coreProperties>
</file>