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Gestion thermique et budget de puissance</w:t>
      </w:r>
    </w:p>
    <w:p>
      <w:pPr>
        <w:pStyle w:val="Heading2"/>
      </w:pPr>
      <w:r>
        <w:t>Objet</w:t>
      </w:r>
    </w:p>
    <w:p>
      <w:r>
        <w:t>Le document analyse la gestion thermique d'un banc électronique embarqué et le compromis entre performances de calcul et dissipation de chaleur. Le document analyse la gestion thermique d'un banc électronique embarqué et le compromis entre performances de calcul et dissipation de chaleur. Le dossier conserve une traçabilité complète entre exigences, essais et décisions d'architecture. Le document analyse la gestion thermique d'un banc électronique embarqué et le compromis entre performances de calcul et dissipation de chaleur.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Mesures</w:t>
      </w:r>
    </w:p>
    <w:p>
      <w:r>
        <w:t>Les mesures ont montré que les pics de puissance apparaissaient pendant les séquences de calcul intensif et les périodes d'acquisition capteur. Le refroidissement passif restait acceptable tant que la charge restait sous les seuils définis. Les mesures ont montré que les pics de puissance apparaissaient pendant les séquences de calcul intensif et les périodes d'acquisition capteur. Le refroidissement passif restait acceptable tant que la charge restait sous les seuils définis. Le dossier conserve une traçabilité complète entre exigences, essais et décisions d'architecture. Les mesures ont montré que les pics de puissance apparaissaient pendant les séquences de calcul intensif et les périodes d'acquisition capteur. Le refroidissement passif restait acceptable tant que la charge restait sous les seuils définis.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Risques</w:t>
      </w:r>
    </w:p>
    <w:p>
      <w:r>
        <w:t>Les risques principaux sont la surchauffe locale, le vieillissement accéléré des composants et la baisse de stabilité quand la température dépasse le cadre nominal. Les risques principaux sont la surchauffe locale, le vieillissement accéléré des composants et la baisse de stabilité quand la température dépasse le cadre nominal. Le dossier conserve une traçabilité complète entre exigences, essais et décisions d'architecture. Les risques principaux sont la surchauffe locale, le vieillissement accéléré des composants et la baisse de stabilité quand la température dépasse le cadre nominal.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Actions</w:t>
      </w:r>
    </w:p>
    <w:p>
      <w:r>
        <w:t>Les actions recommandées incluent l'amélioration de la conduction thermique, la surveillance continue des températures et la révision des scénarios de charge. Les actions recommandées incluent l'amélioration de la conduction thermique, la surveillance continue des températures et la révision des scénarios de charge. Le dossier conserve une traçabilité complète entre exigences, essais et décisions d'architecture. Les actions recommandées incluent l'amélioration de la conduction thermique, la surveillance continue des températures et la révision des scénarios de charge.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Synthèse opérationnelle</w:t>
      </w:r>
    </w:p>
    <w:p>
      <w:r>
        <w:t>La recommandation globale est de poursuivre les essais sur un banc représentatif, de consolider les sources de données et de conserver une traçabilité documentaire stricte. La recommandation globale est de poursuivre les essais sur un banc représentatif, de consolider les sources de données et de conserver une traçabilité documentaire stricte. Le dossier conserve une traçabilité complète entre exigences, essais et décisions d'architecture. La recommandation globale est de poursuivre les essais sur un banc représentatif, de consolider les sources de données et de conserver une traçabilité documentaire stricte. Les résultats sont archivés avec des critères d'acceptation, des limites connues et des références de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thermique et budget de puissance</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