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Inertial GNSS Sensor Fusion Notes</w:t>
      </w:r>
    </w:p>
    <w:p>
      <w:r>
        <w:t>This study compared Kalman filtering strategies for combining IMU, GNSS, and barometric altitude measurements. The best result used adaptive covariance tuning during GNSS degradation.</w:t>
      </w:r>
    </w:p>
    <w:p>
      <w:pPr>
        <w:pStyle w:val="Heading2"/>
      </w:pPr>
      <w:r>
        <w:t>Operational Findings</w:t>
      </w:r>
    </w:p>
    <w:p>
      <w:r>
        <w:t>The navigation solution remained stable during short GNSS outages when the IMU bias was recalibrated before takeoff. Long outages still required map matching or visual odometry support.</w:t>
      </w:r>
    </w:p>
    <w:p>
      <w:pPr>
        <w:pStyle w:val="Heading2"/>
      </w:pPr>
      <w:r>
        <w:t>Recommended Follow Up</w:t>
      </w:r>
    </w:p>
    <w:p>
      <w:r>
        <w:t>The next prototype should integrate computer vision odometry and compare it with lidar-based localisation.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Inertial GNSS Sensor Fusion Notes</dc:title>
  <dc:subject/>
  <dc:creator>R&amp;D Knowledge Assistant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