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Rule="auto"/>
        <w:rPr>
          <w:rFonts w:ascii="Poppins" w:cs="Poppins" w:eastAsia="Poppins" w:hAnsi="Poppins"/>
          <w:b w:val="1"/>
          <w:color w:val="115264"/>
          <w:sz w:val="28"/>
          <w:szCs w:val="28"/>
        </w:rPr>
      </w:pPr>
      <w:bookmarkStart w:colFirst="0" w:colLast="0" w:name="_ka913srv0puh" w:id="0"/>
      <w:bookmarkEnd w:id="0"/>
      <w:r w:rsidDel="00000000" w:rsidR="00000000" w:rsidRPr="00000000">
        <w:rPr>
          <w:rtl w:val="0"/>
        </w:rPr>
      </w:r>
    </w:p>
    <w:p w:rsidR="00000000" w:rsidDel="00000000" w:rsidP="00000000" w:rsidRDefault="00000000" w:rsidRPr="00000000" w14:paraId="00000002">
      <w:pPr>
        <w:pStyle w:val="Heading2"/>
        <w:spacing w:after="0" w:before="0" w:lineRule="auto"/>
        <w:jc w:val="center"/>
        <w:rPr>
          <w:rFonts w:ascii="Poppins" w:cs="Poppins" w:eastAsia="Poppins" w:hAnsi="Poppins"/>
          <w:b w:val="1"/>
          <w:color w:val="374151"/>
          <w:sz w:val="28"/>
          <w:szCs w:val="28"/>
        </w:rPr>
      </w:pPr>
      <w:bookmarkStart w:colFirst="0" w:colLast="0" w:name="_7v9cdyyvohxj" w:id="1"/>
      <w:bookmarkEnd w:id="1"/>
      <w:r w:rsidDel="00000000" w:rsidR="00000000" w:rsidRPr="00000000">
        <w:rPr>
          <w:rFonts w:ascii="Poppins" w:cs="Poppins" w:eastAsia="Poppins" w:hAnsi="Poppins"/>
          <w:b w:val="1"/>
          <w:color w:val="374151"/>
          <w:sz w:val="28"/>
          <w:szCs w:val="28"/>
          <w:rtl w:val="0"/>
        </w:rPr>
        <w:t xml:space="preserve">Améliorer la gestion de l’occlusion en prothèse : évaluation des pratiques professionnelles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0" w:before="0" w:lineRule="auto"/>
        <w:rPr>
          <w:rFonts w:ascii="Poppins" w:cs="Poppins" w:eastAsia="Poppins" w:hAnsi="Poppins"/>
          <w:b w:val="1"/>
          <w:color w:val="374151"/>
          <w:sz w:val="28"/>
          <w:szCs w:val="28"/>
        </w:rPr>
      </w:pPr>
      <w:bookmarkStart w:colFirst="0" w:colLast="0" w:name="_f4pslv8wgbcj" w:id="2"/>
      <w:bookmarkEnd w:id="2"/>
      <w:r w:rsidDel="00000000" w:rsidR="00000000" w:rsidRPr="00000000">
        <w:rPr>
          <w:rFonts w:ascii="Poppins" w:cs="Poppins" w:eastAsia="Poppins" w:hAnsi="Poppins"/>
          <w:b w:val="1"/>
          <w:color w:val="374151"/>
          <w:sz w:val="28"/>
          <w:szCs w:val="28"/>
          <w:rtl w:val="0"/>
        </w:rPr>
        <w:t xml:space="preserve">Ce que vous allez apprendre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gestion de l’occlusion est un élément clé pour assurer la qualité, la pérennité et le confort des prothèses réalisées par le chirurgien-dentiste. Cette formation, axée sur l’intégration des prothèses dans la bouche des patients, fournit aux praticiens les outils théoriques et pratiques nécessaires pour garantir une réhabilitation prothétique fonctionnelle et durable. Une occlusion maîtrisée permet de prévenir les douleurs temporo-mandibulaires, les déséquilibres posturaux ainsi que l’usure ou la casse prématurée des prothèses.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Organisée sous forme d'audit clinique, cette formation vise à évaluer les pratiques professionnelles en situation réelle et à mesurer la conformité des actes aux référentiels de bonnes pratiques. Elle accompagne les praticiens dans l’optimisation de leur prise en charge prothétique quotidienne, avec pour objectif une amélioration tangible de la qualité des soins et de la satisfaction patient, ainsi qu'une diminution significative des complications post-prothétiques.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0" w:before="0" w:lineRule="auto"/>
        <w:rPr>
          <w:rFonts w:ascii="Poppins" w:cs="Poppins" w:eastAsia="Poppins" w:hAnsi="Poppins"/>
          <w:b w:val="1"/>
          <w:color w:val="374151"/>
          <w:sz w:val="28"/>
          <w:szCs w:val="28"/>
        </w:rPr>
      </w:pPr>
      <w:bookmarkStart w:colFirst="0" w:colLast="0" w:name="_3i8u77jxnojd" w:id="3"/>
      <w:bookmarkEnd w:id="3"/>
      <w:r w:rsidDel="00000000" w:rsidR="00000000" w:rsidRPr="00000000">
        <w:rPr>
          <w:rFonts w:ascii="Poppins" w:cs="Poppins" w:eastAsia="Poppins" w:hAnsi="Poppins"/>
          <w:b w:val="1"/>
          <w:color w:val="374151"/>
          <w:sz w:val="28"/>
          <w:szCs w:val="28"/>
          <w:rtl w:val="0"/>
        </w:rPr>
        <w:t xml:space="preserve">Modalité pédagogique  </w:t>
      </w:r>
    </w:p>
    <w:p w:rsidR="00000000" w:rsidDel="00000000" w:rsidP="00000000" w:rsidRDefault="00000000" w:rsidRPr="00000000" w14:paraId="0000000A">
      <w:pPr>
        <w:rPr/>
      </w:pPr>
      <w:r w:rsidDel="00000000" w:rsidR="00000000" w:rsidRPr="00000000">
        <w:rPr>
          <w:rtl w:val="0"/>
        </w:rPr>
        <w:t xml:space="preserve">Evaluation des pratiques professionnelles – Audit clinique </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2"/>
        <w:spacing w:after="0" w:before="0" w:lineRule="auto"/>
        <w:rPr>
          <w:rFonts w:ascii="Poppins" w:cs="Poppins" w:eastAsia="Poppins" w:hAnsi="Poppins"/>
          <w:b w:val="1"/>
          <w:color w:val="374151"/>
          <w:sz w:val="28"/>
          <w:szCs w:val="28"/>
        </w:rPr>
      </w:pPr>
      <w:bookmarkStart w:colFirst="0" w:colLast="0" w:name="_yvcejr2iqbnl" w:id="4"/>
      <w:bookmarkEnd w:id="4"/>
      <w:r w:rsidDel="00000000" w:rsidR="00000000" w:rsidRPr="00000000">
        <w:rPr>
          <w:rFonts w:ascii="Poppins" w:cs="Poppins" w:eastAsia="Poppins" w:hAnsi="Poppins"/>
          <w:b w:val="1"/>
          <w:color w:val="374151"/>
          <w:sz w:val="28"/>
          <w:szCs w:val="28"/>
          <w:rtl w:val="0"/>
        </w:rPr>
        <w:t xml:space="preserve">Objectifs </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Intégrer l’analyse de l’occlusion statique et dynamique dans la démarche diagnostique afin d’optimiser les plans de traitement prothétique.</w:t>
      </w:r>
    </w:p>
    <w:p w:rsidR="00000000" w:rsidDel="00000000" w:rsidP="00000000" w:rsidRDefault="00000000" w:rsidRPr="00000000" w14:paraId="0000000E">
      <w:pPr>
        <w:numPr>
          <w:ilvl w:val="0"/>
          <w:numId w:val="2"/>
        </w:numPr>
        <w:ind w:left="1440" w:hanging="360"/>
        <w:rPr/>
      </w:pPr>
      <w:r w:rsidDel="00000000" w:rsidR="00000000" w:rsidRPr="00000000">
        <w:rPr>
          <w:rtl w:val="0"/>
        </w:rPr>
        <w:t xml:space="preserve">Instaurer systématiquement un bilan occlusal préalable avant toute intervention prothétique pour sécuriser les étapes cliniques à venir.</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Ancrer la sélection rigoureuse de la position de référence comme étape clé dans la planification prothétique, en fonction des situations cliniques.</w:t>
      </w:r>
    </w:p>
    <w:p w:rsidR="00000000" w:rsidDel="00000000" w:rsidP="00000000" w:rsidRDefault="00000000" w:rsidRPr="00000000" w14:paraId="00000010">
      <w:pPr>
        <w:numPr>
          <w:ilvl w:val="0"/>
          <w:numId w:val="2"/>
        </w:numPr>
        <w:ind w:left="1440" w:hanging="360"/>
        <w:rPr/>
      </w:pPr>
      <w:r w:rsidDel="00000000" w:rsidR="00000000" w:rsidRPr="00000000">
        <w:rPr>
          <w:rtl w:val="0"/>
        </w:rPr>
        <w:t xml:space="preserve">Mettre en place une communication structurée et ciblée avec le prothésiste pour limiter les ajustements post-fabrication.</w:t>
      </w:r>
    </w:p>
    <w:p w:rsidR="00000000" w:rsidDel="00000000" w:rsidP="00000000" w:rsidRDefault="00000000" w:rsidRPr="00000000" w14:paraId="00000011">
      <w:pPr>
        <w:numPr>
          <w:ilvl w:val="0"/>
          <w:numId w:val="2"/>
        </w:numPr>
        <w:ind w:left="1440" w:hanging="360"/>
        <w:rPr/>
      </w:pPr>
      <w:r w:rsidDel="00000000" w:rsidR="00000000" w:rsidRPr="00000000">
        <w:rPr>
          <w:rtl w:val="0"/>
        </w:rPr>
        <w:t xml:space="preserve">Adapter les dispositifs prothétiques à l’occlusion spécifique de chaque patient pour assurer leur stabilité, leur confort et leur durabilité.</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spacing w:after="0" w:before="0" w:lineRule="auto"/>
        <w:rPr>
          <w:rFonts w:ascii="Poppins" w:cs="Poppins" w:eastAsia="Poppins" w:hAnsi="Poppins"/>
          <w:b w:val="1"/>
          <w:color w:val="374151"/>
          <w:sz w:val="28"/>
          <w:szCs w:val="28"/>
        </w:rPr>
      </w:pPr>
      <w:bookmarkStart w:colFirst="0" w:colLast="0" w:name="_dr67y4uq44fa" w:id="5"/>
      <w:bookmarkEnd w:id="5"/>
      <w:r w:rsidDel="00000000" w:rsidR="00000000" w:rsidRPr="00000000">
        <w:rPr>
          <w:rFonts w:ascii="Poppins" w:cs="Poppins" w:eastAsia="Poppins" w:hAnsi="Poppins"/>
          <w:b w:val="1"/>
          <w:color w:val="374151"/>
          <w:sz w:val="28"/>
          <w:szCs w:val="28"/>
          <w:rtl w:val="0"/>
        </w:rPr>
        <w:t xml:space="preserve">Public</w:t>
      </w:r>
    </w:p>
    <w:p w:rsidR="00000000" w:rsidDel="00000000" w:rsidP="00000000" w:rsidRDefault="00000000" w:rsidRPr="00000000" w14:paraId="00000014">
      <w:pPr>
        <w:rPr/>
      </w:pPr>
      <w:r w:rsidDel="00000000" w:rsidR="00000000" w:rsidRPr="00000000">
        <w:rPr>
          <w:rtl w:val="0"/>
        </w:rPr>
        <w:t xml:space="preserve">Chirurgiens-Dentistes</w:t>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pStyle w:val="Heading2"/>
        <w:spacing w:after="0" w:before="0" w:lineRule="auto"/>
        <w:rPr>
          <w:rFonts w:ascii="Poppins" w:cs="Poppins" w:eastAsia="Poppins" w:hAnsi="Poppins"/>
          <w:b w:val="1"/>
          <w:color w:val="374151"/>
          <w:sz w:val="28"/>
          <w:szCs w:val="28"/>
        </w:rPr>
      </w:pPr>
      <w:bookmarkStart w:colFirst="0" w:colLast="0" w:name="_k2o7nt9g6qkq" w:id="6"/>
      <w:bookmarkEnd w:id="6"/>
      <w:r w:rsidDel="00000000" w:rsidR="00000000" w:rsidRPr="00000000">
        <w:rPr>
          <w:rFonts w:ascii="Poppins" w:cs="Poppins" w:eastAsia="Poppins" w:hAnsi="Poppins"/>
          <w:b w:val="1"/>
          <w:color w:val="374151"/>
          <w:sz w:val="28"/>
          <w:szCs w:val="28"/>
          <w:rtl w:val="0"/>
        </w:rPr>
        <w:t xml:space="preserve">Prérequis </w:t>
      </w:r>
    </w:p>
    <w:p w:rsidR="00000000" w:rsidDel="00000000" w:rsidP="00000000" w:rsidRDefault="00000000" w:rsidRPr="00000000" w14:paraId="00000017">
      <w:pPr>
        <w:numPr>
          <w:ilvl w:val="0"/>
          <w:numId w:val="1"/>
        </w:numPr>
        <w:ind w:left="720" w:hanging="360"/>
        <w:rPr>
          <w:rFonts w:ascii="Roboto" w:cs="Roboto" w:eastAsia="Roboto" w:hAnsi="Roboto"/>
          <w:color w:val="374151"/>
        </w:rPr>
      </w:pPr>
      <w:r w:rsidDel="00000000" w:rsidR="00000000" w:rsidRPr="00000000">
        <w:rPr>
          <w:rFonts w:ascii="Roboto" w:cs="Roboto" w:eastAsia="Roboto" w:hAnsi="Roboto"/>
          <w:rtl w:val="0"/>
        </w:rPr>
        <w:t xml:space="preserve">Savoir lire et écrire en français</w:t>
      </w:r>
    </w:p>
    <w:p w:rsidR="00000000" w:rsidDel="00000000" w:rsidP="00000000" w:rsidRDefault="00000000" w:rsidRPr="00000000" w14:paraId="00000018">
      <w:pPr>
        <w:numPr>
          <w:ilvl w:val="0"/>
          <w:numId w:val="1"/>
        </w:numPr>
        <w:ind w:left="720" w:hanging="360"/>
        <w:rPr>
          <w:rFonts w:ascii="Roboto" w:cs="Roboto" w:eastAsia="Roboto" w:hAnsi="Roboto"/>
          <w:color w:val="374151"/>
        </w:rPr>
      </w:pPr>
      <w:r w:rsidDel="00000000" w:rsidR="00000000" w:rsidRPr="00000000">
        <w:rPr>
          <w:rFonts w:ascii="Roboto" w:cs="Roboto" w:eastAsia="Roboto" w:hAnsi="Roboto"/>
          <w:rtl w:val="0"/>
        </w:rPr>
        <w:t xml:space="preserve">Être à l’aise avec l’outil informatique</w:t>
      </w:r>
    </w:p>
    <w:p w:rsidR="00000000" w:rsidDel="00000000" w:rsidP="00000000" w:rsidRDefault="00000000" w:rsidRPr="00000000" w14:paraId="00000019">
      <w:pPr>
        <w:numPr>
          <w:ilvl w:val="0"/>
          <w:numId w:val="1"/>
        </w:numPr>
        <w:ind w:left="720" w:hanging="360"/>
        <w:rPr>
          <w:rFonts w:ascii="Roboto" w:cs="Roboto" w:eastAsia="Roboto" w:hAnsi="Roboto"/>
          <w:color w:val="374151"/>
        </w:rPr>
      </w:pPr>
      <w:r w:rsidDel="00000000" w:rsidR="00000000" w:rsidRPr="00000000">
        <w:rPr>
          <w:rFonts w:ascii="Roboto" w:cs="Roboto" w:eastAsia="Roboto" w:hAnsi="Roboto"/>
          <w:rtl w:val="0"/>
        </w:rPr>
        <w:t xml:space="preserve">Disposer d’une connexion Internet stable</w:t>
      </w:r>
    </w:p>
    <w:p w:rsidR="00000000" w:rsidDel="00000000" w:rsidP="00000000" w:rsidRDefault="00000000" w:rsidRPr="00000000" w14:paraId="0000001A">
      <w:pPr>
        <w:numPr>
          <w:ilvl w:val="0"/>
          <w:numId w:val="1"/>
        </w:numPr>
        <w:ind w:left="720" w:hanging="360"/>
        <w:rPr>
          <w:rFonts w:ascii="Roboto" w:cs="Roboto" w:eastAsia="Roboto" w:hAnsi="Roboto"/>
          <w:color w:val="374151"/>
        </w:rPr>
      </w:pPr>
      <w:r w:rsidDel="00000000" w:rsidR="00000000" w:rsidRPr="00000000">
        <w:rPr>
          <w:rFonts w:ascii="Roboto" w:cs="Roboto" w:eastAsia="Roboto" w:hAnsi="Roboto"/>
          <w:rtl w:val="0"/>
        </w:rPr>
        <w:t xml:space="preserve">Posséder un ordinateur ou une tablette</w:t>
      </w:r>
    </w:p>
    <w:p w:rsidR="00000000" w:rsidDel="00000000" w:rsidP="00000000" w:rsidRDefault="00000000" w:rsidRPr="00000000" w14:paraId="0000001B">
      <w:pPr>
        <w:numPr>
          <w:ilvl w:val="0"/>
          <w:numId w:val="1"/>
        </w:numPr>
        <w:ind w:left="720" w:hanging="360"/>
        <w:rPr>
          <w:rFonts w:ascii="Roboto" w:cs="Roboto" w:eastAsia="Roboto" w:hAnsi="Roboto"/>
          <w:color w:val="374151"/>
        </w:rPr>
      </w:pPr>
      <w:r w:rsidDel="00000000" w:rsidR="00000000" w:rsidRPr="00000000">
        <w:rPr>
          <w:rFonts w:ascii="Roboto" w:cs="Roboto" w:eastAsia="Roboto" w:hAnsi="Roboto"/>
          <w:rtl w:val="0"/>
        </w:rPr>
        <w:t xml:space="preserve">Être un professionnel de santé pour bénéficier des prises en charge financières</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pStyle w:val="Heading2"/>
        <w:spacing w:after="0" w:before="0" w:lineRule="auto"/>
        <w:rPr>
          <w:rFonts w:ascii="Poppins" w:cs="Poppins" w:eastAsia="Poppins" w:hAnsi="Poppins"/>
          <w:b w:val="1"/>
          <w:color w:val="374151"/>
          <w:sz w:val="28"/>
          <w:szCs w:val="28"/>
        </w:rPr>
      </w:pPr>
      <w:bookmarkStart w:colFirst="0" w:colLast="0" w:name="_u1ebkj8c20d" w:id="7"/>
      <w:bookmarkEnd w:id="7"/>
      <w:r w:rsidDel="00000000" w:rsidR="00000000" w:rsidRPr="00000000">
        <w:rPr>
          <w:rFonts w:ascii="Poppins" w:cs="Poppins" w:eastAsia="Poppins" w:hAnsi="Poppins"/>
          <w:b w:val="1"/>
          <w:color w:val="374151"/>
          <w:sz w:val="28"/>
          <w:szCs w:val="28"/>
          <w:rtl w:val="0"/>
        </w:rPr>
        <w:t xml:space="preserve">Durée</w:t>
      </w:r>
    </w:p>
    <w:p w:rsidR="00000000" w:rsidDel="00000000" w:rsidP="00000000" w:rsidRDefault="00000000" w:rsidRPr="00000000" w14:paraId="0000001E">
      <w:pPr>
        <w:rPr/>
      </w:pPr>
      <w:r w:rsidDel="00000000" w:rsidR="00000000" w:rsidRPr="00000000">
        <w:rPr>
          <w:rtl w:val="0"/>
        </w:rPr>
        <w:t xml:space="preserve">6</w:t>
      </w:r>
      <w:r w:rsidDel="00000000" w:rsidR="00000000" w:rsidRPr="00000000">
        <w:rPr>
          <w:rFonts w:ascii="Roboto" w:cs="Roboto" w:eastAsia="Roboto" w:hAnsi="Roboto"/>
          <w:rtl w:val="0"/>
        </w:rPr>
        <w:t xml:space="preserve"> heures (</w:t>
      </w:r>
      <w:r w:rsidDel="00000000" w:rsidR="00000000" w:rsidRPr="00000000">
        <w:rPr>
          <w:rtl w:val="0"/>
        </w:rPr>
        <w:t xml:space="preserve">3h + 3h</w:t>
      </w:r>
      <w:r w:rsidDel="00000000" w:rsidR="00000000" w:rsidRPr="00000000">
        <w:rPr>
          <w:rFonts w:ascii="Roboto" w:cs="Roboto" w:eastAsia="Roboto" w:hAnsi="Roboto"/>
          <w:rtl w:val="0"/>
        </w:rPr>
        <w:t xml:space="preserve">)</w:t>
      </w:r>
      <w:r w:rsidDel="00000000" w:rsidR="00000000" w:rsidRPr="00000000">
        <w:rPr>
          <w:rtl w:val="0"/>
        </w:rPr>
        <w:t xml:space="preserve"> - prévoir 3 mois entre les deux audits cliniques.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spacing w:after="0" w:before="0" w:lineRule="auto"/>
        <w:rPr>
          <w:rFonts w:ascii="Poppins" w:cs="Poppins" w:eastAsia="Poppins" w:hAnsi="Poppins"/>
          <w:b w:val="1"/>
          <w:color w:val="374151"/>
          <w:sz w:val="28"/>
          <w:szCs w:val="28"/>
        </w:rPr>
      </w:pPr>
      <w:bookmarkStart w:colFirst="0" w:colLast="0" w:name="_fc9ul57auen5" w:id="8"/>
      <w:bookmarkEnd w:id="8"/>
      <w:r w:rsidDel="00000000" w:rsidR="00000000" w:rsidRPr="00000000">
        <w:rPr>
          <w:rFonts w:ascii="Poppins" w:cs="Poppins" w:eastAsia="Poppins" w:hAnsi="Poppins"/>
          <w:b w:val="1"/>
          <w:color w:val="374151"/>
          <w:sz w:val="28"/>
          <w:szCs w:val="28"/>
          <w:rtl w:val="0"/>
        </w:rPr>
        <w:t xml:space="preserve">Tarif </w:t>
      </w:r>
    </w:p>
    <w:p w:rsidR="00000000" w:rsidDel="00000000" w:rsidP="00000000" w:rsidRDefault="00000000" w:rsidRPr="00000000" w14:paraId="00000021">
      <w:pPr>
        <w:rPr/>
      </w:pPr>
      <w:r w:rsidDel="00000000" w:rsidR="00000000" w:rsidRPr="00000000">
        <w:rPr>
          <w:rtl w:val="0"/>
        </w:rPr>
        <w:t xml:space="preserve">514,80€</w:t>
      </w: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pStyle w:val="Heading2"/>
        <w:spacing w:after="0" w:before="0" w:lineRule="auto"/>
        <w:rPr>
          <w:rFonts w:ascii="Poppins" w:cs="Poppins" w:eastAsia="Poppins" w:hAnsi="Poppins"/>
          <w:b w:val="1"/>
          <w:color w:val="374151"/>
          <w:sz w:val="28"/>
          <w:szCs w:val="28"/>
        </w:rPr>
      </w:pPr>
      <w:bookmarkStart w:colFirst="0" w:colLast="0" w:name="_bghuxu8s8u0i" w:id="9"/>
      <w:bookmarkEnd w:id="9"/>
      <w:r w:rsidDel="00000000" w:rsidR="00000000" w:rsidRPr="00000000">
        <w:rPr>
          <w:rFonts w:ascii="Poppins" w:cs="Poppins" w:eastAsia="Poppins" w:hAnsi="Poppins"/>
          <w:b w:val="1"/>
          <w:color w:val="374151"/>
          <w:sz w:val="28"/>
          <w:szCs w:val="28"/>
          <w:rtl w:val="0"/>
        </w:rPr>
        <w:t xml:space="preserve">Numéro de l’action DPC </w:t>
      </w:r>
    </w:p>
    <w:p w:rsidR="00000000" w:rsidDel="00000000" w:rsidP="00000000" w:rsidRDefault="00000000" w:rsidRPr="00000000" w14:paraId="00000024">
      <w:pPr>
        <w:rPr>
          <w:highlight w:val="yellow"/>
        </w:rPr>
      </w:pPr>
      <w:r w:rsidDel="00000000" w:rsidR="00000000" w:rsidRPr="00000000">
        <w:rPr>
          <w:rtl w:val="0"/>
        </w:rPr>
        <w:t xml:space="preserve">9AVK2525009</w:t>
      </w: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2"/>
        <w:spacing w:after="0" w:before="0" w:lineRule="auto"/>
        <w:rPr>
          <w:rFonts w:ascii="Poppins" w:cs="Poppins" w:eastAsia="Poppins" w:hAnsi="Poppins"/>
          <w:b w:val="1"/>
          <w:color w:val="374151"/>
          <w:sz w:val="28"/>
          <w:szCs w:val="28"/>
        </w:rPr>
      </w:pPr>
      <w:bookmarkStart w:colFirst="0" w:colLast="0" w:name="_hp9koazd16bn" w:id="10"/>
      <w:bookmarkEnd w:id="10"/>
      <w:r w:rsidDel="00000000" w:rsidR="00000000" w:rsidRPr="00000000">
        <w:rPr>
          <w:rFonts w:ascii="Poppins" w:cs="Poppins" w:eastAsia="Poppins" w:hAnsi="Poppins"/>
          <w:b w:val="1"/>
          <w:color w:val="374151"/>
          <w:sz w:val="28"/>
          <w:szCs w:val="28"/>
          <w:rtl w:val="0"/>
        </w:rPr>
        <w:t xml:space="preserve">Moyens pédagogiques </w:t>
      </w:r>
    </w:p>
    <w:p w:rsidR="00000000" w:rsidDel="00000000" w:rsidP="00000000" w:rsidRDefault="00000000" w:rsidRPr="00000000" w14:paraId="00000027">
      <w:pPr>
        <w:numPr>
          <w:ilvl w:val="0"/>
          <w:numId w:val="3"/>
        </w:numPr>
        <w:spacing w:after="0" w:afterAutospacing="0" w:before="240" w:lineRule="auto"/>
        <w:ind w:left="720" w:hanging="360"/>
        <w:rPr>
          <w:rFonts w:ascii="Poppins" w:cs="Poppins" w:eastAsia="Poppins" w:hAnsi="Poppins"/>
          <w:color w:val="374151"/>
        </w:rPr>
      </w:pPr>
      <w:r w:rsidDel="00000000" w:rsidR="00000000" w:rsidRPr="00000000">
        <w:rPr>
          <w:rtl w:val="0"/>
        </w:rPr>
        <w:t xml:space="preserve">Transmission des consignes et des outils pédagogiques (présentation, grilles d’audit) par </w:t>
      </w:r>
      <w:r w:rsidDel="00000000" w:rsidR="00000000" w:rsidRPr="00000000">
        <w:rPr>
          <w:rtl w:val="0"/>
        </w:rPr>
        <w:t xml:space="preserve">voie postale ou électronique.</w:t>
      </w:r>
      <w:r w:rsidDel="00000000" w:rsidR="00000000" w:rsidRPr="00000000">
        <w:rPr>
          <w:rtl w:val="0"/>
        </w:rPr>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Poppins" w:cs="Poppins" w:eastAsia="Poppins" w:hAnsi="Poppins"/>
          <w:color w:val="374151"/>
        </w:rPr>
      </w:pPr>
      <w:r w:rsidDel="00000000" w:rsidR="00000000" w:rsidRPr="00000000">
        <w:rPr>
          <w:rtl w:val="0"/>
        </w:rPr>
        <w:t xml:space="preserve">Réalisation de deux audits cliniques à distance sur la base de l'analyse de dossiers patients.</w:t>
      </w:r>
    </w:p>
    <w:p w:rsidR="00000000" w:rsidDel="00000000" w:rsidP="00000000" w:rsidRDefault="00000000" w:rsidRPr="00000000" w14:paraId="00000029">
      <w:pPr>
        <w:numPr>
          <w:ilvl w:val="0"/>
          <w:numId w:val="3"/>
        </w:numPr>
        <w:spacing w:after="240" w:before="0" w:beforeAutospacing="0" w:lineRule="auto"/>
        <w:ind w:left="720" w:hanging="360"/>
        <w:rPr>
          <w:rFonts w:ascii="Poppins" w:cs="Poppins" w:eastAsia="Poppins" w:hAnsi="Poppins"/>
          <w:color w:val="374151"/>
        </w:rPr>
      </w:pPr>
      <w:r w:rsidDel="00000000" w:rsidR="00000000" w:rsidRPr="00000000">
        <w:rPr>
          <w:rtl w:val="0"/>
        </w:rPr>
        <w:t xml:space="preserve">Synthèse des résultats avec un retour </w:t>
      </w:r>
      <w:r w:rsidDel="00000000" w:rsidR="00000000" w:rsidRPr="00000000">
        <w:rPr>
          <w:rtl w:val="0"/>
        </w:rPr>
        <w:t xml:space="preserve">individualisé </w:t>
      </w:r>
      <w:r w:rsidDel="00000000" w:rsidR="00000000" w:rsidRPr="00000000">
        <w:rPr>
          <w:rtl w:val="0"/>
        </w:rPr>
        <w:t xml:space="preserve">aux apprenants.</w:t>
      </w:r>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rPr>
          <w:rFonts w:ascii="Poppins" w:cs="Poppins" w:eastAsia="Poppins" w:hAnsi="Poppins"/>
          <w:b w:val="1"/>
          <w:color w:val="374151"/>
          <w:sz w:val="28"/>
          <w:szCs w:val="28"/>
        </w:rPr>
      </w:pPr>
      <w:bookmarkStart w:colFirst="0" w:colLast="0" w:name="_10tmu4rfkv4n" w:id="11"/>
      <w:bookmarkEnd w:id="11"/>
      <w:r w:rsidDel="00000000" w:rsidR="00000000" w:rsidRPr="00000000">
        <w:rPr>
          <w:rFonts w:ascii="Poppins" w:cs="Poppins" w:eastAsia="Poppins" w:hAnsi="Poppins"/>
          <w:b w:val="1"/>
          <w:color w:val="374151"/>
          <w:sz w:val="28"/>
          <w:szCs w:val="28"/>
          <w:rtl w:val="0"/>
        </w:rPr>
        <w:t xml:space="preserve">Dispositif d’évaluation</w:t>
      </w:r>
    </w:p>
    <w:p w:rsidR="00000000" w:rsidDel="00000000" w:rsidP="00000000" w:rsidRDefault="00000000" w:rsidRPr="00000000" w14:paraId="0000002B">
      <w:pPr>
        <w:keepNext w:val="0"/>
        <w:keepLines w:val="0"/>
        <w:spacing w:after="0" w:before="0" w:lineRule="auto"/>
        <w:rPr/>
      </w:pPr>
      <w:r w:rsidDel="00000000" w:rsidR="00000000" w:rsidRPr="00000000">
        <w:rPr>
          <w:rtl w:val="0"/>
        </w:rPr>
        <w:t xml:space="preserve">Grille d’audit clinique conçue selon les objectifs opérationnels de la thématique de formation. Elle comporte des critères, des indicateurs, une échelle de réponse (OUI/NON/N.A) ainsi qu’un espace pour commentaires et justifications.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spacing w:after="0" w:before="0" w:lineRule="auto"/>
        <w:rPr>
          <w:rFonts w:ascii="Poppins" w:cs="Poppins" w:eastAsia="Poppins" w:hAnsi="Poppins"/>
          <w:b w:val="1"/>
          <w:color w:val="374151"/>
          <w:sz w:val="28"/>
          <w:szCs w:val="28"/>
        </w:rPr>
      </w:pPr>
      <w:bookmarkStart w:colFirst="0" w:colLast="0" w:name="_2vtynrtbk35f" w:id="12"/>
      <w:bookmarkEnd w:id="12"/>
      <w:r w:rsidDel="00000000" w:rsidR="00000000" w:rsidRPr="00000000">
        <w:rPr>
          <w:rFonts w:ascii="Poppins" w:cs="Poppins" w:eastAsia="Poppins" w:hAnsi="Poppins"/>
          <w:b w:val="1"/>
          <w:color w:val="374151"/>
          <w:sz w:val="28"/>
          <w:szCs w:val="28"/>
          <w:rtl w:val="0"/>
        </w:rPr>
        <w:t xml:space="preserve">Programme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formation comprend la réalisation de deux audits cliniques.</w:t>
        <w:br w:type="textWrapping"/>
        <w:t xml:space="preserve">Chaque audit porte sur l’analyse de 15 dossiers patients, sélectionnés selon des critères d’inclusion et d’exclusion précis.</w:t>
      </w:r>
    </w:p>
    <w:p w:rsidR="00000000" w:rsidDel="00000000" w:rsidP="00000000" w:rsidRDefault="00000000" w:rsidRPr="00000000" w14:paraId="0000002F">
      <w:pPr>
        <w:rPr/>
      </w:pPr>
      <w:r w:rsidDel="00000000" w:rsidR="00000000" w:rsidRPr="00000000">
        <w:rPr>
          <w:rtl w:val="0"/>
        </w:rPr>
        <w:br w:type="textWrapping"/>
        <w:t xml:space="preserve">Un délai de trois mois est prévu entre les deux audits, afin de permettre aux participants de mettre en œuvre les actions d’amélioration identifiées lors du premier audit.</w:t>
      </w:r>
    </w:p>
    <w:p w:rsidR="00000000" w:rsidDel="00000000" w:rsidP="00000000" w:rsidRDefault="00000000" w:rsidRPr="00000000" w14:paraId="00000030">
      <w:pPr>
        <w:rPr/>
      </w:pPr>
      <w:r w:rsidDel="00000000" w:rsidR="00000000" w:rsidRPr="00000000">
        <w:rPr>
          <w:rtl w:val="0"/>
        </w:rPr>
        <w:t xml:space="preserve">L’objectif de ce dispositif est d’analyser la pratique médicale réelle observée du professionnel de santé par rapport à la pratique attendue ou recommandée, afin de définir des actions d’amélioration de l’activité professionnelle et de la qualité de la prise en charge des patients.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Cette méthodologie vise à mesurer les écarts de pratiques, sensibiliser aux recommandations en vigueur et favoriser une amélioration continue de la qualité des soins.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Poppins" w:cs="Poppins" w:eastAsia="Poppins" w:hAnsi="Poppins"/>
          <w:b w:val="1"/>
          <w:color w:val="374151"/>
          <w:sz w:val="28"/>
          <w:szCs w:val="28"/>
        </w:rPr>
      </w:pPr>
      <w:r w:rsidDel="00000000" w:rsidR="00000000" w:rsidRPr="00000000">
        <w:rPr>
          <w:rFonts w:ascii="Poppins" w:cs="Poppins" w:eastAsia="Poppins" w:hAnsi="Poppins"/>
          <w:b w:val="1"/>
          <w:color w:val="374151"/>
          <w:sz w:val="28"/>
          <w:szCs w:val="28"/>
          <w:rtl w:val="0"/>
        </w:rPr>
        <w:t xml:space="preserve">Financements</w:t>
      </w:r>
      <w:r w:rsidDel="00000000" w:rsidR="00000000" w:rsidRPr="00000000">
        <w:rPr>
          <w:rtl w:val="0"/>
        </w:rPr>
      </w:r>
    </w:p>
    <w:p w:rsidR="00000000" w:rsidDel="00000000" w:rsidP="00000000" w:rsidRDefault="00000000" w:rsidRPr="00000000" w14:paraId="00000035">
      <w:pPr>
        <w:rPr>
          <w:rFonts w:ascii="Roboto" w:cs="Roboto" w:eastAsia="Roboto" w:hAnsi="Roboto"/>
          <w:b w:val="1"/>
        </w:rPr>
      </w:pPr>
      <w:r w:rsidDel="00000000" w:rsidR="00000000" w:rsidRPr="00000000">
        <w:rPr>
          <w:rFonts w:ascii="Roboto" w:cs="Roboto" w:eastAsia="Roboto" w:hAnsi="Roboto"/>
          <w:rtl w:val="0"/>
        </w:rPr>
        <w:t xml:space="preserve">DPC</w:t>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pStyle w:val="Heading2"/>
        <w:spacing w:after="0" w:before="0" w:lineRule="auto"/>
        <w:rPr>
          <w:rFonts w:ascii="Poppins" w:cs="Poppins" w:eastAsia="Poppins" w:hAnsi="Poppins"/>
          <w:b w:val="1"/>
          <w:color w:val="374151"/>
          <w:sz w:val="28"/>
          <w:szCs w:val="28"/>
        </w:rPr>
      </w:pPr>
      <w:bookmarkStart w:colFirst="0" w:colLast="0" w:name="_1iazoqjdbptx" w:id="13"/>
      <w:bookmarkEnd w:id="13"/>
      <w:r w:rsidDel="00000000" w:rsidR="00000000" w:rsidRPr="00000000">
        <w:rPr>
          <w:rFonts w:ascii="Poppins" w:cs="Poppins" w:eastAsia="Poppins" w:hAnsi="Poppins"/>
          <w:b w:val="1"/>
          <w:color w:val="374151"/>
          <w:sz w:val="28"/>
          <w:szCs w:val="28"/>
          <w:rtl w:val="0"/>
        </w:rPr>
        <w:t xml:space="preserve">Avantages </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100% pris en charge sans avance de frais*</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Validant votre obligation de triennale DPC</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2</w:t>
      </w:r>
      <w:r w:rsidDel="00000000" w:rsidR="00000000" w:rsidRPr="00000000">
        <w:rPr>
          <w:rtl w:val="0"/>
        </w:rPr>
        <w:t xml:space="preserve">11,20</w:t>
      </w:r>
      <w:r w:rsidDel="00000000" w:rsidR="00000000" w:rsidRPr="00000000">
        <w:rPr>
          <w:rFonts w:ascii="Roboto" w:cs="Roboto" w:eastAsia="Roboto" w:hAnsi="Roboto"/>
          <w:rtl w:val="0"/>
        </w:rPr>
        <w:t xml:space="preserve">€ d’indemnisation en exercice libéral</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*sous réserve d'éligibilité et de budget disponible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rPr>
          <w:rFonts w:ascii="Poppins" w:cs="Poppins" w:eastAsia="Poppins" w:hAnsi="Poppins"/>
          <w:color w:val="4b5563"/>
          <w:sz w:val="36"/>
          <w:szCs w:val="3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rFonts w:ascii="Poppins" w:cs="Poppins" w:eastAsia="Poppins" w:hAnsi="Poppins"/>
        <w:b w:val="1"/>
        <w:color w:val="374151"/>
        <w:sz w:val="28"/>
        <w:szCs w:val="28"/>
      </w:rPr>
    </w:pPr>
    <w:r w:rsidDel="00000000" w:rsidR="00000000" w:rsidRPr="00000000">
      <w:rPr/>
      <w:drawing>
        <wp:inline distB="114300" distT="114300" distL="114300" distR="114300">
          <wp:extent cx="1700213" cy="5499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0213" cy="5499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color w:val="37415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