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15C2B1" w14:textId="29EA21B9" w:rsidR="00845FB0" w:rsidRDefault="00845FB0">
      <w:r>
        <w:t xml:space="preserve">Message du jury : </w:t>
      </w:r>
    </w:p>
    <w:p w14:paraId="4D8D6E85" w14:textId="0DD03B7E" w:rsidR="00845FB0" w:rsidRDefault="00845FB0">
      <w:r>
        <w:t>Jury :</w:t>
      </w:r>
    </w:p>
    <w:p w14:paraId="10CBDB45" w14:textId="77777777" w:rsidR="00845FB0" w:rsidRPr="00845FB0" w:rsidRDefault="00845FB0" w:rsidP="00845FB0">
      <w:pPr>
        <w:rPr>
          <w:lang/>
        </w:rPr>
      </w:pPr>
      <w:r w:rsidRPr="00845FB0">
        <w:rPr>
          <w:lang/>
        </w:rPr>
        <w:t>voici la discussion entre un eleve et un representatn de Belem. le dernier message est trees important</w:t>
      </w:r>
    </w:p>
    <w:p w14:paraId="3EDA7B80" w14:textId="77777777" w:rsidR="00845FB0" w:rsidRDefault="00845FB0" w:rsidP="00845FB0">
      <w:pPr>
        <w:rPr>
          <w:lang w:val="fr-CH"/>
        </w:rPr>
      </w:pPr>
      <w:r w:rsidRPr="00845FB0">
        <w:rPr>
          <w:lang/>
        </w:rPr>
        <w:t xml:space="preserve">gm gm everyone, some of you were interested by the different vaults that we are curating </w:t>
      </w:r>
      <w:hyperlink r:id="rId5" w:history="1">
        <w:r w:rsidRPr="00845FB0">
          <w:rPr>
            <w:rStyle w:val="Hyperlink"/>
            <w:lang/>
          </w:rPr>
          <w:t>https://dune.com/rockawayxvault/rockawayx-dashboard</w:t>
        </w:r>
      </w:hyperlink>
      <w:r w:rsidRPr="00845FB0">
        <w:rPr>
          <w:lang/>
        </w:rPr>
        <w:br/>
      </w:r>
      <w:hyperlink r:id="rId6" w:history="1">
        <w:r w:rsidRPr="00845FB0">
          <w:rPr>
            <w:rStyle w:val="Hyperlink"/>
            <w:b/>
            <w:bCs/>
            <w:lang/>
          </w:rPr>
          <w:t>Dune</w:t>
        </w:r>
      </w:hyperlink>
      <w:r w:rsidRPr="00845FB0">
        <w:rPr>
          <w:lang/>
        </w:rPr>
        <w:br/>
      </w:r>
      <w:r w:rsidRPr="00845FB0">
        <w:rPr>
          <w:b/>
          <w:bCs/>
          <w:lang/>
        </w:rPr>
        <w:t>RockawayX Dashboard | Dune</w:t>
      </w:r>
      <w:r w:rsidRPr="00845FB0">
        <w:rPr>
          <w:lang/>
        </w:rPr>
        <w:br/>
        <w:t>The industry standard for onchain data. Structured, institutional-grade blockchain datasets across RWAs, stablecoins, tokens, lending, and more. 130+ chains.</w:t>
      </w:r>
      <w:r w:rsidRPr="00845FB0">
        <w:rPr>
          <w:lang/>
        </w:rPr>
        <w:br/>
      </w:r>
    </w:p>
    <w:p w14:paraId="77A7926C" w14:textId="5B891FFB" w:rsidR="00845FB0" w:rsidRPr="00845FB0" w:rsidRDefault="00845FB0" w:rsidP="00845FB0">
      <w:pPr>
        <w:rPr>
          <w:lang w:val="fr-CH"/>
        </w:rPr>
      </w:pPr>
      <w:proofErr w:type="spellStart"/>
      <w:r>
        <w:rPr>
          <w:lang w:val="fr-CH"/>
        </w:rPr>
        <w:t>eleve</w:t>
      </w:r>
      <w:proofErr w:type="spellEnd"/>
      <w:r>
        <w:rPr>
          <w:lang w:val="fr-CH"/>
        </w:rPr>
        <w:t> :</w:t>
      </w:r>
      <w:r w:rsidRPr="00845FB0">
        <w:rPr>
          <w:lang/>
        </w:rPr>
        <w:br/>
        <w:t xml:space="preserve">DOnc le resultat finale on veut un site, où on envoit quoi ? Un lien d'une transaction ? Donne un exemple claire. Ils nous ont partagé ce lien : </w:t>
      </w:r>
      <w:hyperlink r:id="rId7" w:history="1">
        <w:r w:rsidRPr="00845FB0">
          <w:rPr>
            <w:rStyle w:val="Hyperlink"/>
            <w:lang/>
          </w:rPr>
          <w:t>https://dune.com/rockawayxvault/rockawayx-dashboard</w:t>
        </w:r>
      </w:hyperlink>
      <w:r w:rsidRPr="00845FB0">
        <w:rPr>
          <w:lang/>
        </w:rPr>
        <w:t xml:space="preserve"> Dessus il y a ce genre de choses : RockawayX Dashboard Share@rockawayxvault Updated4 months ago 1 Data Run Avg Deposit / HolderRockaway Vaults Global KPIs Average USD amount deposited per unique holder $120,609.07 Avg Deposit / Holder </w:t>
      </w:r>
      <w:hyperlink r:id="rId8" w:history="1">
        <w:r w:rsidRPr="00845FB0">
          <w:rPr>
            <w:rStyle w:val="Hyperlink"/>
            <w:lang/>
          </w:rPr>
          <w:t>@rockawayxvault</w:t>
        </w:r>
      </w:hyperlink>
      <w:r w:rsidRPr="00845FB0">
        <w:rPr>
          <w:lang/>
        </w:rPr>
        <w:t xml:space="preserve"> 7h TVL by ChainRockaway Vaults TVL by Chain Distribution of total TVL across the five blockchains where RockawayX operates vaults: Ethereum, Solana, Plume, Etherlink, and 0G. Pie chart See query results table </w:t>
      </w:r>
      <w:hyperlink r:id="rId9" w:history="1">
        <w:r w:rsidRPr="00845FB0">
          <w:rPr>
            <w:rStyle w:val="Hyperlink"/>
            <w:lang/>
          </w:rPr>
          <w:t>@rockawayxvault</w:t>
        </w:r>
      </w:hyperlink>
      <w:r w:rsidRPr="00845FB0">
        <w:rPr>
          <w:lang/>
        </w:rPr>
        <w:t xml:space="preserve"> 7h TVL by Protocol DailyRockaway Vaults TVL by Protocol Daily Daily evolution of total TVL deposited across each protocol curating RockawayX vaults. Area chart See query results table Jul 2025 Oct 2025 Jan 2026 Apr 2026 Jul 2026 Oct 2026 0 50m 100m 150m 200m 250m 300m </w:t>
      </w:r>
      <w:hyperlink r:id="rId10" w:history="1">
        <w:r w:rsidRPr="00845FB0">
          <w:rPr>
            <w:rStyle w:val="Hyperlink"/>
            <w:lang/>
          </w:rPr>
          <w:t>@rockawayxvault</w:t>
        </w:r>
      </w:hyperlink>
      <w:r w:rsidRPr="00845FB0">
        <w:rPr>
          <w:lang/>
        </w:rPr>
        <w:t xml:space="preserve"> 7h VaultsRockaway Vaults Global KPIs Number of active vaults 33 Vaults </w:t>
      </w:r>
      <w:hyperlink r:id="rId11" w:history="1">
        <w:r w:rsidRPr="00845FB0">
          <w:rPr>
            <w:rStyle w:val="Hyperlink"/>
            <w:lang/>
          </w:rPr>
          <w:t>@rockawayxvault</w:t>
        </w:r>
      </w:hyperlink>
      <w:r w:rsidRPr="00845FB0">
        <w:rPr>
          <w:lang/>
        </w:rPr>
        <w:t xml:space="preserve"> 7h Total TVLRockaway Vaults Global KPIs Total assets deposited across all RockawayX vaults, in USD. $293.56M Total TVL </w:t>
      </w:r>
      <w:hyperlink r:id="rId12" w:history="1">
        <w:r w:rsidRPr="00845FB0">
          <w:rPr>
            <w:rStyle w:val="Hyperlink"/>
            <w:lang/>
          </w:rPr>
          <w:t>@rockawayxvault</w:t>
        </w:r>
      </w:hyperlink>
      <w:r w:rsidRPr="00845FB0">
        <w:rPr>
          <w:lang/>
        </w:rPr>
        <w:t xml:space="preserve"> 7h Query resultsRockaway Vaults Analysis vault_name vault_address token_name chain protocol category tvl_usd apy RockawayX RWA USDC DWSXb18xZApz29vnQpgR2m6MynCT7PznaXt7Ut7M7KaP USDC solana kamino Money Market 62.7m$ 5.59% Huma PST DzgYbR8HFQKf8YLCJ6M3E6ricB1xWAiNGZ2TB7X2KDHz PST solana kamino Money Market 42.5m$ 0.02% Tori Ecosystem Vault 0xcd69123b3FBBfC666E1f6a501da27B564C00De54 trUSD ethereum upshift Multi Strategy 24.9m$ 3.26% RockawayX Confidential RWA USDC 0xc207d3f66537D7F66456808379A0E560cF20Da36 USDC ethereum morpho Money Market 23.9m$ 10.00% RockawayX f(x) Protocol Ecosystem USDC 0x2cA22cb25558fa2018ecb1CE4eD8AF92Ee7ea423 USDC ethereum morpho Money Market 20.7m$ 8.06% RockawayX YIELD USDC 0xE0181090c22579B6A217f1522cbf8c9f1F0C1965 USDC ethereum morpho Money Market 18.6m$ 6.09% Y10K 0x953972ea0C1703c58F09FB6fD2477Fdcf0FEe074 eY10K ethereum ember Multi Strategy 17.8m$ 9.04% RockawayX Tori Ecosystem 0x3BD9AdAE6643dDcddD02746b8B60075E56DF9478 USDC ethereum morpho Money Market 13.6m$ 6.00% Huma USDC Main 0x8aC91877b93330f52b2979a31a4879506021475c USDC ethereum morpho Money Market 12.6m$ 7.33% Feather PYUSD0 0x6137dcfdd3c83fe2922b1cba4105d2e92b327a06 PYUSD0 sei feather Money Market 12.4m$ 6.27% RockawayX USDC 0x047cD0a91E9B92ED979189a6C8A120bf280f02E5 USDC pharos oku Money Market 11.2m$ 3.97% Obligate oTFY 6nk5K3PiV3EHtW4LLFhfMc1uR4kNwEfibvTdWqxCm6WF </w:t>
      </w:r>
      <w:r w:rsidRPr="00845FB0">
        <w:rPr>
          <w:lang/>
        </w:rPr>
        <w:lastRenderedPageBreak/>
        <w:t>oTFY solana kamino Money Market 7.2m$ 20.51% Belem RWA EURCV 0xD6d4b804014EF27836dBe9f8f6Bf6c71251548Ec EURCV ethereum morpho Les entrée qu'on doit donné c'est les vault-adress ? Genre en gros le final product ce serait un site avec une demande d'éntrée où l'utilisateur met le lien puis y a une réponse STAY/EXIT juste ? Puis à la limite y a un truc en savoir plus pour expliquer comment le choix est fait ?</w:t>
      </w:r>
      <w:r w:rsidRPr="00845FB0">
        <w:rPr>
          <w:lang/>
        </w:rPr>
        <w:br/>
      </w:r>
      <w:hyperlink r:id="rId13" w:history="1">
        <w:r w:rsidRPr="00845FB0">
          <w:rPr>
            <w:rStyle w:val="Hyperlink"/>
            <w:b/>
            <w:bCs/>
            <w:lang/>
          </w:rPr>
          <w:t>Dune</w:t>
        </w:r>
      </w:hyperlink>
      <w:r w:rsidRPr="00845FB0">
        <w:rPr>
          <w:lang/>
        </w:rPr>
        <w:br/>
      </w:r>
      <w:r w:rsidRPr="00845FB0">
        <w:rPr>
          <w:b/>
          <w:bCs/>
          <w:lang/>
        </w:rPr>
        <w:t>RockawayX Dashboard | Dune</w:t>
      </w:r>
      <w:r w:rsidRPr="00845FB0">
        <w:rPr>
          <w:lang/>
        </w:rPr>
        <w:br/>
        <w:t>The industry standard for onchain data. Structured, institutional-grade blockchain datasets across RWAs, stablecoins, tokens, lending, and more. 130+ chains.</w:t>
      </w:r>
      <w:r>
        <w:rPr>
          <w:lang w:val="fr-CH"/>
        </w:rPr>
        <w:br/>
      </w:r>
      <w:r>
        <w:rPr>
          <w:lang w:val="fr-CH"/>
        </w:rPr>
        <w:br/>
        <w:t>jury :</w:t>
      </w:r>
      <w:r w:rsidRPr="00845FB0">
        <w:rPr>
          <w:lang/>
        </w:rPr>
        <w:br/>
        <w:t xml:space="preserve">Tu as </w:t>
      </w:r>
      <w:r w:rsidRPr="00845FB0">
        <w:rPr>
          <w:b/>
          <w:bCs/>
          <w:lang/>
        </w:rPr>
        <w:t>parfaitement compris</w:t>
      </w:r>
      <w:r w:rsidRPr="00845FB0">
        <w:rPr>
          <w:lang/>
        </w:rPr>
        <w:t>. C'est exactement l'objectif, et la table Dune fournie par les organisateurs en est la preuve directe.En observant attentivement la dernière ligne de ce tableau :</w:t>
      </w:r>
      <w:r w:rsidRPr="00845FB0">
        <w:rPr>
          <w:b/>
          <w:bCs/>
          <w:lang/>
        </w:rPr>
        <w:t>Nom du vault :</w:t>
      </w:r>
      <w:r w:rsidRPr="00845FB0">
        <w:rPr>
          <w:lang/>
        </w:rPr>
        <w:t xml:space="preserve"> Belem RWA EURCV (Belem, c'est justement l'entreprise qui organise et note le challenge !) </w:t>
      </w:r>
      <w:r w:rsidRPr="00845FB0">
        <w:rPr>
          <w:b/>
          <w:bCs/>
          <w:lang/>
        </w:rPr>
        <w:t>Adresse :</w:t>
      </w:r>
      <w:r w:rsidRPr="00845FB0">
        <w:rPr>
          <w:lang/>
        </w:rPr>
        <w:t xml:space="preserve"> 0xD6d4b804014EF27836dBe9f8f6Bf6c71251548Ec</w:t>
      </w:r>
      <w:r w:rsidRPr="00845FB0">
        <w:rPr>
          <w:b/>
          <w:bCs/>
          <w:lang/>
        </w:rPr>
        <w:t>Protocole :</w:t>
      </w:r>
      <w:r w:rsidRPr="00845FB0">
        <w:rPr>
          <w:lang/>
        </w:rPr>
        <w:t xml:space="preserve"> morpho</w:t>
      </w:r>
      <w:r w:rsidRPr="00845FB0">
        <w:rPr>
          <w:b/>
          <w:bCs/>
          <w:lang/>
        </w:rPr>
        <w:t>Chaîne :</w:t>
      </w:r>
      <w:r w:rsidRPr="00845FB0">
        <w:rPr>
          <w:lang/>
        </w:rPr>
        <w:t xml:space="preserve"> ethereumIls vous ont donné ce tableau pour vous fournir une liste de vrais cas réels prêts à l'emploi. </w:t>
      </w:r>
      <w:r w:rsidRPr="00845FB0">
        <w:rPr>
          <w:b/>
          <w:bCs/>
          <w:lang/>
        </w:rPr>
        <w:t>À quoi ressemble le produit final concrètement ?</w:t>
      </w:r>
      <w:r w:rsidRPr="00845FB0">
        <w:rPr>
          <w:lang/>
        </w:rPr>
        <w:t>Un gestionnaire de fonds n'a pas besoin d'un lien de transaction individuelle : il veut surveiller l'endroit où sont déposés ses fonds, c'est-à-dire l'</w:t>
      </w:r>
      <w:r w:rsidRPr="00845FB0">
        <w:rPr>
          <w:b/>
          <w:bCs/>
          <w:lang/>
        </w:rPr>
        <w:t>adresse du vault (coffre-fort)</w:t>
      </w:r>
      <w:r w:rsidRPr="00845FB0">
        <w:rPr>
          <w:lang/>
        </w:rPr>
        <w:t xml:space="preserve"> ou son portefeuille de vaults. L'interface de ton site (ou prototype Streamlit/Next.js) peut s'articuler autour de ce parcours utilisateur simple :</w:t>
      </w:r>
      <w:r w:rsidRPr="00845FB0">
        <w:rPr>
          <w:b/>
          <w:bCs/>
          <w:lang/>
        </w:rPr>
        <w:t>1. L'entrée (Input)</w:t>
      </w:r>
      <w:r w:rsidRPr="00845FB0">
        <w:rPr>
          <w:lang/>
        </w:rPr>
        <w:t>Un champ de texte pour renseigner l'</w:t>
      </w:r>
      <w:r w:rsidRPr="00845FB0">
        <w:rPr>
          <w:b/>
          <w:bCs/>
          <w:lang/>
        </w:rPr>
        <w:t>Adresse du Vault</w:t>
      </w:r>
      <w:r w:rsidRPr="00845FB0">
        <w:rPr>
          <w:lang/>
        </w:rPr>
        <w:t xml:space="preserve"> (ou un menu déroulant pré-rempli avec les vaults du tableau, ex. 0xD6d4b8... Belem RWA EURCV). Le montant investi (ex. 100 000 $ ou le pourcentage du portefeuille). Un sélecteur de scénario de crise / incident (ex. un bouton « Simuler : Défaillance de l'actif EURCV » ou « Incident de liquidité sur Morpho »). </w:t>
      </w:r>
      <w:r w:rsidRPr="00845FB0">
        <w:rPr>
          <w:b/>
          <w:bCs/>
          <w:lang/>
        </w:rPr>
        <w:t>2. La sortie principale (Le verdict instantané)</w:t>
      </w:r>
      <w:r w:rsidRPr="00845FB0">
        <w:rPr>
          <w:lang/>
        </w:rPr>
        <w:t>Un badge visible immédiatement, sans ambiguïté :</w:t>
      </w:r>
      <w:r w:rsidRPr="00845FB0">
        <w:rPr>
          <w:b/>
          <w:bCs/>
          <w:lang/>
        </w:rPr>
        <w:t>SIGNAL : STAY</w:t>
      </w:r>
      <w:r w:rsidRPr="00845FB0">
        <w:rPr>
          <w:lang/>
        </w:rPr>
        <w:t xml:space="preserve"> (Vert) ou </w:t>
      </w:r>
      <w:r w:rsidRPr="00845FB0">
        <w:rPr>
          <w:b/>
          <w:bCs/>
          <w:lang/>
        </w:rPr>
        <w:t>SIGNAL : EXIT</w:t>
      </w:r>
      <w:r w:rsidRPr="00845FB0">
        <w:rPr>
          <w:lang/>
        </w:rPr>
        <w:t xml:space="preserve"> (Rouge). </w:t>
      </w:r>
      <w:r w:rsidRPr="00845FB0">
        <w:rPr>
          <w:b/>
          <w:bCs/>
          <w:lang/>
        </w:rPr>
        <w:t>3. Le volet « En savoir plus » (C'est là que se trouvent 85 % de tes points)</w:t>
      </w:r>
      <w:r w:rsidRPr="00845FB0">
        <w:rPr>
          <w:lang/>
        </w:rPr>
        <w:t xml:space="preserve">En cliquant sur « Détails », le gestionnaire de portefeuille accède aux justifications requises par le barème : </w:t>
      </w:r>
      <w:r w:rsidRPr="00845FB0">
        <w:rPr>
          <w:b/>
          <w:bCs/>
          <w:lang/>
        </w:rPr>
        <w:t>Graphe des dépendances (30 % de la note) :</w:t>
      </w:r>
      <w:r w:rsidRPr="00845FB0">
        <w:rPr>
          <w:lang/>
        </w:rPr>
        <w:t xml:space="preserve"> Afficher la chaîne identifiée pour ce vault : $$\text{Ethereum} \longrightarrow \text{Morpho} \longrightarrow \text{Marché EURCV} \longrightarrow \text{Émetteur Forge/Société Générale (EURCV)}$$</w:t>
      </w:r>
      <w:r w:rsidRPr="00845FB0">
        <w:rPr>
          <w:b/>
          <w:bCs/>
          <w:lang/>
        </w:rPr>
        <w:t>Impact économique estimé (30 % de la note) :</w:t>
      </w:r>
      <w:r w:rsidRPr="00845FB0">
        <w:rPr>
          <w:i/>
          <w:iCs/>
          <w:lang/>
        </w:rPr>
        <w:t>Perte estimée en restant :</w:t>
      </w:r>
      <w:r w:rsidRPr="00845FB0">
        <w:rPr>
          <w:lang/>
        </w:rPr>
        <w:t xml:space="preserve"> ex. </w:t>
      </w:r>
      <w:r w:rsidRPr="00845FB0">
        <w:rPr>
          <w:b/>
          <w:bCs/>
          <w:lang/>
        </w:rPr>
        <w:t>-35 000 $</w:t>
      </w:r>
      <w:r w:rsidRPr="00845FB0">
        <w:rPr>
          <w:lang/>
        </w:rPr>
        <w:t xml:space="preserve"> (car l'incident bloque le collatéral ou entraîne des créances douteuses). </w:t>
      </w:r>
      <w:r w:rsidRPr="00845FB0">
        <w:rPr>
          <w:i/>
          <w:iCs/>
          <w:lang/>
        </w:rPr>
        <w:t>Coût de sortie immédiate :</w:t>
      </w:r>
      <w:r w:rsidRPr="00845FB0">
        <w:rPr>
          <w:lang/>
        </w:rPr>
        <w:t xml:space="preserve"> ex. </w:t>
      </w:r>
      <w:r w:rsidRPr="00845FB0">
        <w:rPr>
          <w:b/>
          <w:bCs/>
          <w:lang/>
        </w:rPr>
        <w:t>-4 200 $</w:t>
      </w:r>
      <w:r w:rsidRPr="00845FB0">
        <w:rPr>
          <w:lang/>
        </w:rPr>
        <w:t xml:space="preserve"> (4,2 % de slippage calculé selon la liquidité actuelle du marché + frais de retrait). </w:t>
      </w:r>
      <w:r w:rsidRPr="00845FB0">
        <w:rPr>
          <w:b/>
          <w:bCs/>
          <w:lang/>
        </w:rPr>
        <w:t>La justification (25 % de la note) :</w:t>
      </w:r>
      <w:r w:rsidRPr="00845FB0">
        <w:rPr>
          <w:lang/>
        </w:rPr>
        <w:t xml:space="preserve">Une phrase claire : </w:t>
      </w:r>
      <w:r w:rsidRPr="00845FB0">
        <w:rPr>
          <w:i/>
          <w:iCs/>
          <w:lang/>
        </w:rPr>
        <w:t>« Sortir immédiatement coûte 4 200 $, tandis que la perte attendue en restant s'élève à 35 000 $. La perte évitée dépasse largement les frais d'exécution, la sortie est donc justifiée. »</w:t>
      </w:r>
      <w:r w:rsidRPr="00845FB0">
        <w:rPr>
          <w:lang/>
        </w:rPr>
        <w:t xml:space="preserve"> </w:t>
      </w:r>
      <w:r w:rsidRPr="00845FB0">
        <w:rPr>
          <w:b/>
          <w:bCs/>
          <w:lang/>
        </w:rPr>
        <w:t>Pourquoi ce format est idéal pour un débutantPas besoin d'inventer des données :</w:t>
      </w:r>
      <w:r w:rsidRPr="00845FB0">
        <w:rPr>
          <w:lang/>
        </w:rPr>
        <w:t xml:space="preserve"> Tu prends 2 ou 3 adresses du tableau Dune (par exemple le vault Belem sur Morpho et un vault Kamino sur Solana).</w:t>
      </w:r>
      <w:r w:rsidRPr="00845FB0">
        <w:rPr>
          <w:b/>
          <w:bCs/>
          <w:lang/>
        </w:rPr>
        <w:t>Pas d'architecture complexe :</w:t>
      </w:r>
      <w:r w:rsidRPr="00845FB0">
        <w:rPr>
          <w:lang/>
        </w:rPr>
        <w:t xml:space="preserve"> En Python (avec une bibliothèque légère comme Streamlit), tu peux monter ce type d'interface en moins d'une journée.</w:t>
      </w:r>
      <w:r w:rsidRPr="00845FB0">
        <w:rPr>
          <w:b/>
          <w:bCs/>
          <w:lang/>
        </w:rPr>
        <w:t>Parfaitement aligné avec le jury :</w:t>
      </w:r>
      <w:r w:rsidRPr="00845FB0">
        <w:rPr>
          <w:lang/>
        </w:rPr>
        <w:t xml:space="preserve"> Tu réponds précisément aux 4 critères d'évaluation (Dépendances, Impact chiffré, Utilité décisionnelle Stay/Exit, et Démo sur de vraies adresses).</w:t>
      </w:r>
    </w:p>
    <w:p w14:paraId="5D06399D" w14:textId="77777777" w:rsidR="00845FB0" w:rsidRPr="00845FB0" w:rsidRDefault="00845FB0">
      <w:pPr>
        <w:rPr>
          <w:lang/>
        </w:rPr>
      </w:pPr>
    </w:p>
    <w:p w14:paraId="4D92EA5C" w14:textId="77777777" w:rsidR="00845FB0" w:rsidRDefault="00845FB0"/>
    <w:p w14:paraId="5B993DF4" w14:textId="77777777" w:rsidR="00845FB0" w:rsidRDefault="00845FB0"/>
    <w:p w14:paraId="3231B534" w14:textId="77777777" w:rsidR="00845FB0" w:rsidRDefault="00845FB0"/>
    <w:p w14:paraId="256CADDA" w14:textId="77777777" w:rsidR="00845FB0" w:rsidRDefault="00845FB0"/>
    <w:p w14:paraId="6CF515DA" w14:textId="77777777" w:rsidR="00845FB0" w:rsidRDefault="00845FB0"/>
    <w:p w14:paraId="6A6B3225" w14:textId="77777777" w:rsidR="00845FB0" w:rsidRDefault="00845FB0"/>
    <w:p w14:paraId="5BB9DD07" w14:textId="77777777" w:rsidR="00845FB0" w:rsidRDefault="00845FB0"/>
    <w:p w14:paraId="4877C7B5" w14:textId="6B70A6BF" w:rsidR="002167B3" w:rsidRDefault="0002325B">
      <w:proofErr w:type="spellStart"/>
      <w:r>
        <w:t>Present</w:t>
      </w:r>
      <w:r w:rsidR="00845FB0">
        <w:t>é</w:t>
      </w:r>
      <w:proofErr w:type="spellEnd"/>
      <w:r>
        <w:t xml:space="preserve"> au jury: </w:t>
      </w:r>
    </w:p>
    <w:p w14:paraId="36353815" w14:textId="77777777" w:rsidR="002167B3" w:rsidRDefault="002167B3"/>
    <w:p w14:paraId="32B5427D" w14:textId="77777777" w:rsidR="002167B3" w:rsidRDefault="0002325B">
      <w:r>
        <w:rPr>
          <w:noProof/>
        </w:rPr>
        <w:drawing>
          <wp:inline distT="114300" distB="114300" distL="114300" distR="114300" wp14:anchorId="20285C67" wp14:editId="476D8F1E">
            <wp:extent cx="5731200" cy="32258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4"/>
                    <a:srcRect/>
                    <a:stretch>
                      <a:fillRect/>
                    </a:stretch>
                  </pic:blipFill>
                  <pic:spPr>
                    <a:xfrm>
                      <a:off x="0" y="0"/>
                      <a:ext cx="5731200" cy="3225800"/>
                    </a:xfrm>
                    <a:prstGeom prst="rect">
                      <a:avLst/>
                    </a:prstGeom>
                    <a:ln/>
                  </pic:spPr>
                </pic:pic>
              </a:graphicData>
            </a:graphic>
          </wp:inline>
        </w:drawing>
      </w:r>
    </w:p>
    <w:p w14:paraId="6EC48C79" w14:textId="77777777" w:rsidR="002167B3" w:rsidRDefault="002167B3"/>
    <w:p w14:paraId="054E00B6" w14:textId="77777777" w:rsidR="002167B3" w:rsidRDefault="002167B3"/>
    <w:p w14:paraId="1C7DF83F" w14:textId="77777777" w:rsidR="002167B3" w:rsidRDefault="0002325B">
      <w:proofErr w:type="spellStart"/>
      <w:r>
        <w:t>Reponse</w:t>
      </w:r>
      <w:proofErr w:type="spellEnd"/>
      <w:r>
        <w:t xml:space="preserve"> du jury :</w:t>
      </w:r>
    </w:p>
    <w:p w14:paraId="27A95038" w14:textId="77777777" w:rsidR="002167B3" w:rsidRDefault="002167B3"/>
    <w:p w14:paraId="25774B30" w14:textId="77777777" w:rsidR="002167B3" w:rsidRDefault="0002325B">
      <w:r>
        <w:t>est-ce qu’il y’a mieux que sortir?</w:t>
      </w:r>
    </w:p>
    <w:p w14:paraId="6C8C37EB" w14:textId="77777777" w:rsidR="002167B3" w:rsidRDefault="002167B3"/>
    <w:p w14:paraId="5A4A1726" w14:textId="77777777" w:rsidR="002167B3" w:rsidRDefault="0002325B">
      <w:pPr>
        <w:numPr>
          <w:ilvl w:val="0"/>
          <w:numId w:val="1"/>
        </w:numPr>
      </w:pPr>
      <w:r>
        <w:t>comment sortir / mitiger / combien on perd</w:t>
      </w:r>
    </w:p>
    <w:p w14:paraId="6766F27B" w14:textId="77777777" w:rsidR="002167B3" w:rsidRDefault="0002325B">
      <w:pPr>
        <w:numPr>
          <w:ilvl w:val="0"/>
          <w:numId w:val="1"/>
        </w:numPr>
      </w:pPr>
      <w:r>
        <w:t xml:space="preserve"> enlever </w:t>
      </w:r>
      <w:proofErr w:type="spellStart"/>
      <w:r>
        <w:t>chain</w:t>
      </w:r>
      <w:proofErr w:type="spellEnd"/>
      <w:r>
        <w:t xml:space="preserve"> of </w:t>
      </w:r>
      <w:proofErr w:type="spellStart"/>
      <w:r>
        <w:t>blame</w:t>
      </w:r>
      <w:proofErr w:type="spellEnd"/>
    </w:p>
    <w:p w14:paraId="7371452D" w14:textId="77777777" w:rsidR="002167B3" w:rsidRDefault="0002325B">
      <w:pPr>
        <w:numPr>
          <w:ilvl w:val="0"/>
          <w:numId w:val="1"/>
        </w:numPr>
      </w:pPr>
      <w:r>
        <w:t xml:space="preserve">enlever part 3 préparer la sortir </w:t>
      </w:r>
    </w:p>
    <w:p w14:paraId="5B77D026" w14:textId="77777777" w:rsidR="002167B3" w:rsidRDefault="0002325B">
      <w:pPr>
        <w:numPr>
          <w:ilvl w:val="0"/>
          <w:numId w:val="1"/>
        </w:numPr>
      </w:pPr>
      <w:r>
        <w:t xml:space="preserve">être </w:t>
      </w:r>
      <w:proofErr w:type="spellStart"/>
      <w:r>
        <w:t>spéicifique</w:t>
      </w:r>
      <w:proofErr w:type="spellEnd"/>
      <w:r>
        <w:t xml:space="preserve"> pas général (prendre un protocole)</w:t>
      </w:r>
    </w:p>
    <w:p w14:paraId="1E7924F0" w14:textId="77777777" w:rsidR="002167B3" w:rsidRDefault="002167B3"/>
    <w:p w14:paraId="288ACA94" w14:textId="77777777" w:rsidR="002167B3" w:rsidRDefault="002167B3"/>
    <w:p w14:paraId="6F8A5CDD" w14:textId="77777777" w:rsidR="002167B3" w:rsidRDefault="0002325B">
      <w:r>
        <w:t xml:space="preserve">On base les nouveaux </w:t>
      </w:r>
      <w:proofErr w:type="spellStart"/>
      <w:r>
        <w:t>features</w:t>
      </w:r>
      <w:proofErr w:type="spellEnd"/>
      <w:r>
        <w:t xml:space="preserve"> sur ca: est-ce qu’il y’a mieux que sortir?</w:t>
      </w:r>
    </w:p>
    <w:p w14:paraId="2A1986F8" w14:textId="77777777" w:rsidR="002167B3" w:rsidRDefault="002167B3"/>
    <w:p w14:paraId="305B9529" w14:textId="77777777" w:rsidR="002167B3" w:rsidRDefault="002167B3"/>
    <w:p w14:paraId="44762128" w14:textId="77777777" w:rsidR="002167B3" w:rsidRDefault="002167B3"/>
    <w:p w14:paraId="02E2DE84" w14:textId="77777777" w:rsidR="002167B3" w:rsidRDefault="002167B3"/>
    <w:p w14:paraId="547F1F68" w14:textId="77777777" w:rsidR="002167B3" w:rsidRDefault="002167B3"/>
    <w:p w14:paraId="2BE4AE21" w14:textId="77777777" w:rsidR="002167B3" w:rsidRDefault="0002325B">
      <w:proofErr w:type="spellStart"/>
      <w:r>
        <w:t>Deduction</w:t>
      </w:r>
      <w:proofErr w:type="spellEnd"/>
      <w:r>
        <w:t xml:space="preserve"> des </w:t>
      </w:r>
      <w:proofErr w:type="spellStart"/>
      <w:r>
        <w:t>eleves</w:t>
      </w:r>
      <w:proofErr w:type="spellEnd"/>
      <w:r>
        <w:t>:</w:t>
      </w:r>
    </w:p>
    <w:p w14:paraId="7EF8EE31" w14:textId="77777777" w:rsidR="002167B3" w:rsidRDefault="0002325B">
      <w:r>
        <w:t>---------------------------------------------------------------------------------------------------------------------------</w:t>
      </w:r>
    </w:p>
    <w:p w14:paraId="2ED6D592" w14:textId="77777777" w:rsidR="002167B3" w:rsidRDefault="002167B3"/>
    <w:p w14:paraId="02CC20FA" w14:textId="77777777" w:rsidR="002167B3" w:rsidRDefault="002167B3"/>
    <w:p w14:paraId="6C19CF9D" w14:textId="77777777" w:rsidR="002167B3" w:rsidRDefault="0002325B">
      <w:pPr>
        <w:spacing w:before="240" w:after="240"/>
      </w:pPr>
      <w:r>
        <w:t>A. HOLD — Ne rien faire</w:t>
      </w:r>
    </w:p>
    <w:p w14:paraId="353EAE1A" w14:textId="77777777" w:rsidR="002167B3" w:rsidRDefault="0002325B">
      <w:pPr>
        <w:spacing w:before="240" w:after="240"/>
      </w:pPr>
      <w:r>
        <w:lastRenderedPageBreak/>
        <w:t>Simuler le choc sans intervention. FAULTLINE indique si la position risque d'être liquidée et à partir de quel prix.</w:t>
      </w:r>
    </w:p>
    <w:p w14:paraId="40A9F3C9" w14:textId="77777777" w:rsidR="002167B3" w:rsidRDefault="0002325B">
      <w:pPr>
        <w:spacing w:before="240" w:after="240"/>
      </w:pPr>
      <w:r>
        <w:t>Dans notre exemple : liquidation possible dès que l'ETH descend vers 2 250 $.</w:t>
      </w:r>
    </w:p>
    <w:p w14:paraId="52FA45C7" w14:textId="77777777" w:rsidR="002167B3" w:rsidRDefault="0002325B">
      <w:pPr>
        <w:spacing w:before="240" w:after="240"/>
      </w:pPr>
      <w:r>
        <w:t>B. REPAY — Rembourser une partie de la dette</w:t>
      </w:r>
    </w:p>
    <w:p w14:paraId="6653C260" w14:textId="77777777" w:rsidR="002167B3" w:rsidRDefault="0002325B">
      <w:pPr>
        <w:spacing w:before="240" w:after="240"/>
      </w:pPr>
      <w:r>
        <w:t>Exemple : rembourser 2 000 USDC avant le choc.</w:t>
      </w:r>
    </w:p>
    <w:p w14:paraId="3654C9F9" w14:textId="77777777" w:rsidR="002167B3" w:rsidRDefault="0002325B">
      <w:pPr>
        <w:spacing w:before="240" w:after="240"/>
      </w:pPr>
      <w:r>
        <w:t>La dette passe à 16 000 $. Après une chute de 30 %, le LTV serait de 76,2 %, donc sous le seuil de liquidation.</w:t>
      </w:r>
    </w:p>
    <w:p w14:paraId="6DD51AEA" w14:textId="77777777" w:rsidR="002167B3" w:rsidRDefault="0002325B">
      <w:pPr>
        <w:spacing w:before="240" w:after="240"/>
      </w:pPr>
      <w:proofErr w:type="spellStart"/>
      <w:r>
        <w:t>Countermove</w:t>
      </w:r>
      <w:proofErr w:type="spellEnd"/>
      <w:r>
        <w:t xml:space="preserve"> calcule aussi le montant minimal à rembourser pour survivre au choc, avec une marge de sécurité configurable.</w:t>
      </w:r>
    </w:p>
    <w:p w14:paraId="23766B76" w14:textId="77777777" w:rsidR="002167B3" w:rsidRDefault="0002325B">
      <w:pPr>
        <w:spacing w:before="240" w:after="240"/>
      </w:pPr>
      <w:r>
        <w:t>C. REINFORCE — Ajouter du collatéral</w:t>
      </w:r>
    </w:p>
    <w:p w14:paraId="11054970" w14:textId="77777777" w:rsidR="002167B3" w:rsidRDefault="0002325B">
      <w:pPr>
        <w:spacing w:before="240" w:after="240"/>
      </w:pPr>
      <w:r>
        <w:t xml:space="preserve">Exemple : ajouter 1 ETH déjà disponible dans le </w:t>
      </w:r>
      <w:proofErr w:type="spellStart"/>
      <w:r>
        <w:t>wallet</w:t>
      </w:r>
      <w:proofErr w:type="spellEnd"/>
      <w:r>
        <w:t>.</w:t>
      </w:r>
    </w:p>
    <w:p w14:paraId="12DF10AD" w14:textId="77777777" w:rsidR="002167B3" w:rsidRDefault="0002325B">
      <w:pPr>
        <w:spacing w:before="240" w:after="240"/>
      </w:pPr>
      <w:r>
        <w:t>Avec 11 ETH en garantie, le LTV après le choc devient 77,9 %.</w:t>
      </w:r>
    </w:p>
    <w:p w14:paraId="128F7F2A" w14:textId="77777777" w:rsidR="002167B3" w:rsidRDefault="0002325B">
      <w:pPr>
        <w:spacing w:before="240" w:after="240"/>
      </w:pPr>
      <w:r>
        <w:t>L'utilisateur évite la liquidation dans ce scénario, mais expose davantage d'ETH à une éventuelle baisse.</w:t>
      </w:r>
    </w:p>
    <w:p w14:paraId="260E1838" w14:textId="77777777" w:rsidR="002167B3" w:rsidRDefault="0002325B">
      <w:pPr>
        <w:spacing w:before="240" w:after="240"/>
      </w:pPr>
      <w:r>
        <w:t>D. DELEVERAGE — Réduire partiellement l'exposition</w:t>
      </w:r>
    </w:p>
    <w:p w14:paraId="05C3EB66" w14:textId="77777777" w:rsidR="002167B3" w:rsidRDefault="0002325B">
      <w:pPr>
        <w:spacing w:before="240" w:after="240"/>
      </w:pPr>
      <w:r>
        <w:t>Exemple : vendre 2 ETH avant le choc et utiliser les 6 000 USDC reçus pour rembourser la dette.</w:t>
      </w:r>
    </w:p>
    <w:p w14:paraId="482A4D5E" w14:textId="77777777" w:rsidR="002167B3" w:rsidRDefault="0002325B">
      <w:pPr>
        <w:spacing w:before="240" w:after="240"/>
      </w:pPr>
      <w:r>
        <w:t>Il reste 8 ETH et 12 000 USDC de dette. Le LTV après le choc est de 71,4 %.</w:t>
      </w:r>
    </w:p>
    <w:p w14:paraId="19E6FA86" w14:textId="77777777" w:rsidR="002167B3" w:rsidRDefault="0002325B">
      <w:pPr>
        <w:spacing w:before="240" w:after="240"/>
      </w:pPr>
      <w:r>
        <w:t>Cette stratégie protège contre une baisse supplémentaire, mais réduit les gains possibles si l'ETH remonte. Une vraie exécution nécessite un mécanisme de sortie partielle réalisable, parfois atomique ou préfinancé.</w:t>
      </w:r>
    </w:p>
    <w:p w14:paraId="4D25A552" w14:textId="77777777" w:rsidR="002167B3" w:rsidRDefault="0002325B">
      <w:pPr>
        <w:spacing w:before="240" w:after="240"/>
      </w:pPr>
      <w:r>
        <w:t>E. HEDGE — Ouvrir un short de couverture</w:t>
      </w:r>
    </w:p>
    <w:p w14:paraId="38440EEF" w14:textId="77777777" w:rsidR="002167B3" w:rsidRDefault="0002325B">
      <w:pPr>
        <w:spacing w:before="240" w:after="240"/>
      </w:pPr>
      <w:r>
        <w:t>Exemple : établir une exposition short à l'ETH pour compenser une partie des pertes en cas de baisse.</w:t>
      </w:r>
    </w:p>
    <w:p w14:paraId="25FDBFFE" w14:textId="77777777" w:rsidR="002167B3" w:rsidRDefault="0002325B">
      <w:pPr>
        <w:spacing w:before="240" w:after="240"/>
      </w:pPr>
      <w:proofErr w:type="spellStart"/>
      <w:r>
        <w:t>Countermove</w:t>
      </w:r>
      <w:proofErr w:type="spellEnd"/>
      <w:r>
        <w:t xml:space="preserve"> peut calculer théoriquement le montant à couvrir, les gains/pertes du </w:t>
      </w:r>
      <w:proofErr w:type="spellStart"/>
      <w:r>
        <w:t>hedge</w:t>
      </w:r>
      <w:proofErr w:type="spellEnd"/>
      <w:r>
        <w:t xml:space="preserve"> et les frais. Mais ouvrir réellement un short nécessiterait un autre marché adapté : je garderais donc cette stratégie comme extension, pas dans le MVP sur un seul marché Morpho.</w:t>
      </w:r>
    </w:p>
    <w:p w14:paraId="12BB2C99" w14:textId="77777777" w:rsidR="002167B3" w:rsidRDefault="0002325B">
      <w:pPr>
        <w:spacing w:before="240" w:after="240"/>
      </w:pPr>
      <w:r>
        <w:rPr>
          <w:b/>
          <w:bCs/>
        </w:rPr>
        <w:t>F. HOLD TO MATURITY — Garder jusqu’à l’échéance</w:t>
      </w:r>
      <w:r>
        <w:rPr>
          <w:b/>
          <w:bCs/>
        </w:rPr>
        <w:br/>
      </w:r>
      <w:r>
        <w:rPr>
          <w:rFonts w:ascii="Arial Unicode MS" w:eastAsia="Arial Unicode MS" w:hAnsi="Arial Unicode MS" w:cs="Arial Unicode MS"/>
        </w:rPr>
        <w:t xml:space="preserve"> Un PT est remboursé au pair à l’échéance, sans </w:t>
      </w:r>
      <w:proofErr w:type="spellStart"/>
      <w:r>
        <w:rPr>
          <w:rFonts w:ascii="Arial Unicode MS" w:eastAsia="Arial Unicode MS" w:hAnsi="Arial Unicode MS" w:cs="Arial Unicode MS"/>
        </w:rPr>
        <w:t>slippage</w:t>
      </w:r>
      <w:proofErr w:type="spellEnd"/>
      <w:r>
        <w:rPr>
          <w:rFonts w:ascii="Arial Unicode MS" w:eastAsia="Arial Unicode MS" w:hAnsi="Arial Unicode MS" w:cs="Arial Unicode MS"/>
        </w:rPr>
        <w:t>.</w:t>
      </w:r>
      <w:r>
        <w:rPr>
          <w:rFonts w:ascii="Arial Unicode MS" w:eastAsia="Arial Unicode MS" w:hAnsi="Arial Unicode MS" w:cs="Arial Unicode MS"/>
        </w:rPr>
        <w:br/>
      </w:r>
      <w:r>
        <w:rPr>
          <w:rFonts w:ascii="Arial Unicode MS" w:eastAsia="Arial Unicode MS" w:hAnsi="Arial Unicode MS" w:cs="Arial Unicode MS"/>
        </w:rPr>
        <w:t xml:space="preserve"> Exemple : PT-</w:t>
      </w:r>
      <w:proofErr w:type="spellStart"/>
      <w:r>
        <w:rPr>
          <w:rFonts w:ascii="Arial Unicode MS" w:eastAsia="Arial Unicode MS" w:hAnsi="Arial Unicode MS" w:cs="Arial Unicode MS"/>
        </w:rPr>
        <w:t>sUSDe</w:t>
      </w:r>
      <w:proofErr w:type="spellEnd"/>
      <w:r>
        <w:rPr>
          <w:rFonts w:ascii="Arial Unicode MS" w:eastAsia="Arial Unicode MS" w:hAnsi="Arial Unicode MS" w:cs="Arial Unicode MS"/>
        </w:rPr>
        <w:t xml:space="preserve"> acheté à 0,97 $, échéance dans 12 jours. Vendre maintenant sur l’AMM rapporte 0,89 $ (−11 %). Attendre l’échéance rapporte 1,00 $ si l’émetteur tient.</w:t>
      </w:r>
      <w:r>
        <w:rPr>
          <w:rFonts w:ascii="Arial Unicode MS" w:eastAsia="Arial Unicode MS" w:hAnsi="Arial Unicode MS" w:cs="Arial Unicode MS"/>
        </w:rPr>
        <w:br/>
        <w:t xml:space="preserve"> </w:t>
      </w:r>
      <w:proofErr w:type="spellStart"/>
      <w:r>
        <w:rPr>
          <w:rFonts w:ascii="Arial Unicode MS" w:eastAsia="Arial Unicode MS" w:hAnsi="Arial Unicode MS" w:cs="Arial Unicode MS"/>
        </w:rPr>
        <w:t>Countermove</w:t>
      </w:r>
      <w:proofErr w:type="spellEnd"/>
      <w:r>
        <w:rPr>
          <w:rFonts w:ascii="Arial Unicode MS" w:eastAsia="Arial Unicode MS" w:hAnsi="Arial Unicode MS" w:cs="Arial Unicode MS"/>
        </w:rPr>
        <w:t xml:space="preserve"> compare la perte attendue jusqu’à l’échéance avec le coût de sortie immédiat.</w:t>
      </w:r>
    </w:p>
    <w:p w14:paraId="31AA9B56" w14:textId="77777777" w:rsidR="002167B3" w:rsidRDefault="0002325B">
      <w:pPr>
        <w:spacing w:before="240" w:after="240"/>
      </w:pPr>
      <w:r>
        <w:rPr>
          <w:b/>
          <w:bCs/>
        </w:rPr>
        <w:lastRenderedPageBreak/>
        <w:t>G. MERGE — Reconvertir PT + YT en sous-jacent</w:t>
      </w:r>
      <w:r>
        <w:rPr>
          <w:b/>
          <w:bCs/>
        </w:rPr>
        <w:br/>
      </w:r>
      <w:r>
        <w:t xml:space="preserve"> Sur Pendle, 1 PT + 1 YT se reconvertit à tout moment en sous-jacent.</w:t>
      </w:r>
      <w:r>
        <w:br/>
      </w:r>
      <w:r>
        <w:t xml:space="preserve"> Exemple : acheter le YT à 0,03 $ par unité, fusionner avec le PT et récupérer 1 </w:t>
      </w:r>
      <w:proofErr w:type="spellStart"/>
      <w:r>
        <w:t>sUSDe</w:t>
      </w:r>
      <w:proofErr w:type="spellEnd"/>
      <w:r>
        <w:t xml:space="preserve">. Le coût est d’environ 3 % au lieu de 11 % de </w:t>
      </w:r>
      <w:proofErr w:type="spellStart"/>
      <w:r>
        <w:t>slippage</w:t>
      </w:r>
      <w:proofErr w:type="spellEnd"/>
      <w:r>
        <w:t xml:space="preserve"> sur l’AMM du PT.</w:t>
      </w:r>
      <w:r>
        <w:br/>
        <w:t xml:space="preserve"> Le calcul inclut le </w:t>
      </w:r>
      <w:proofErr w:type="spellStart"/>
      <w:r>
        <w:t>slippage</w:t>
      </w:r>
      <w:proofErr w:type="spellEnd"/>
      <w:r>
        <w:t xml:space="preserve"> sur l’achat du YT et la liquidité disponible en YT.</w:t>
      </w:r>
    </w:p>
    <w:p w14:paraId="7915FD18" w14:textId="77777777" w:rsidR="002167B3" w:rsidRDefault="0002325B">
      <w:pPr>
        <w:spacing w:before="240" w:after="240"/>
      </w:pPr>
      <w:r>
        <w:rPr>
          <w:b/>
          <w:bCs/>
        </w:rPr>
        <w:t>H. REDEEM — Sortir chez l’émetteur</w:t>
      </w:r>
      <w:r>
        <w:rPr>
          <w:b/>
          <w:bCs/>
        </w:rPr>
        <w:br/>
      </w:r>
      <w:r>
        <w:t xml:space="preserve"> Sortir par le contrat de l’émetteur plutôt que par le marché.</w:t>
      </w:r>
      <w:r>
        <w:br/>
        <w:t xml:space="preserve"> Exemple : </w:t>
      </w:r>
      <w:proofErr w:type="spellStart"/>
      <w:r>
        <w:t>unstake</w:t>
      </w:r>
      <w:proofErr w:type="spellEnd"/>
      <w:r>
        <w:t xml:space="preserve"> de </w:t>
      </w:r>
      <w:proofErr w:type="spellStart"/>
      <w:r>
        <w:t>sUSDe</w:t>
      </w:r>
      <w:proofErr w:type="spellEnd"/>
      <w:r>
        <w:t xml:space="preserve"> vers </w:t>
      </w:r>
      <w:proofErr w:type="spellStart"/>
      <w:r>
        <w:t>USDe</w:t>
      </w:r>
      <w:proofErr w:type="spellEnd"/>
      <w:r>
        <w:t xml:space="preserve"> avec une période de </w:t>
      </w:r>
      <w:proofErr w:type="spellStart"/>
      <w:r>
        <w:t>cooldown</w:t>
      </w:r>
      <w:proofErr w:type="spellEnd"/>
      <w:r>
        <w:t xml:space="preserve">. Pas de </w:t>
      </w:r>
      <w:proofErr w:type="spellStart"/>
      <w:r>
        <w:t>slippage</w:t>
      </w:r>
      <w:proofErr w:type="spellEnd"/>
      <w:r>
        <w:t>, mais une attente.</w:t>
      </w:r>
      <w:r>
        <w:br/>
      </w:r>
      <w:r>
        <w:t xml:space="preserve"> L’option est valable seulement si le temps restant estimé par Exit </w:t>
      </w:r>
      <w:proofErr w:type="spellStart"/>
      <w:r>
        <w:t>Runway</w:t>
      </w:r>
      <w:proofErr w:type="spellEnd"/>
      <w:r>
        <w:t xml:space="preserve"> dépasse la durée du </w:t>
      </w:r>
      <w:proofErr w:type="spellStart"/>
      <w:r>
        <w:t>cooldown</w:t>
      </w:r>
      <w:proofErr w:type="spellEnd"/>
      <w:r>
        <w:t>.</w:t>
      </w:r>
    </w:p>
    <w:p w14:paraId="5B9B6D2A" w14:textId="77777777" w:rsidR="002167B3" w:rsidRDefault="0002325B">
      <w:pPr>
        <w:spacing w:before="240" w:after="240"/>
      </w:pPr>
      <w:r>
        <w:rPr>
          <w:b/>
          <w:bCs/>
        </w:rPr>
        <w:t>I. WITHDRAW EARLY — Retirer avant la ruée (côté prêteur)</w:t>
      </w:r>
      <w:r>
        <w:rPr>
          <w:b/>
          <w:bCs/>
        </w:rPr>
        <w:br/>
      </w:r>
      <w:r>
        <w:t xml:space="preserve"> Pour un dépôt sur Morpho : retirer pendant qu’il reste de la liquidité.</w:t>
      </w:r>
      <w:r>
        <w:br/>
        <w:t xml:space="preserve"> Exemple : l’utilisation est à 92 % et monte. Il reste 8 M$ retirables. Si on attend que les </w:t>
      </w:r>
      <w:proofErr w:type="spellStart"/>
      <w:r>
        <w:t>whales</w:t>
      </w:r>
      <w:proofErr w:type="spellEnd"/>
      <w:r>
        <w:t xml:space="preserve"> sortent, environ 40 % de la position reste bloquée.</w:t>
      </w:r>
      <w:r>
        <w:br/>
        <w:t xml:space="preserve"> </w:t>
      </w:r>
      <w:proofErr w:type="spellStart"/>
      <w:r>
        <w:t>Countermove</w:t>
      </w:r>
      <w:proofErr w:type="spellEnd"/>
      <w:r>
        <w:t xml:space="preserve"> compare la part bloquée si on attend avec la part récupérable maintenant.</w:t>
      </w:r>
    </w:p>
    <w:p w14:paraId="74B7D060" w14:textId="77777777" w:rsidR="002167B3" w:rsidRDefault="0002325B">
      <w:pPr>
        <w:spacing w:before="240" w:after="240"/>
      </w:pPr>
      <w:r>
        <w:rPr>
          <w:b/>
          <w:bCs/>
        </w:rPr>
        <w:t>J. REALLOCATE — Déplacer vers un marché plus sûr</w:t>
      </w:r>
      <w:r>
        <w:rPr>
          <w:b/>
          <w:bCs/>
        </w:rPr>
        <w:br/>
      </w:r>
      <w:r>
        <w:t xml:space="preserve"> Déplacer la position vers un autre marché ou </w:t>
      </w:r>
      <w:proofErr w:type="spellStart"/>
      <w:r>
        <w:t>vault</w:t>
      </w:r>
      <w:proofErr w:type="spellEnd"/>
      <w:r>
        <w:t>, avec un rendement proche et moins de dépendances.</w:t>
      </w:r>
      <w:r>
        <w:br/>
        <w:t xml:space="preserve"> Exemple : passer d’un marché à oracle fixe vers un marché à oracle de marché, ou vers un </w:t>
      </w:r>
      <w:proofErr w:type="spellStart"/>
      <w:r>
        <w:t>vault</w:t>
      </w:r>
      <w:proofErr w:type="spellEnd"/>
      <w:r>
        <w:t xml:space="preserve"> plus liquide.</w:t>
      </w:r>
      <w:r>
        <w:br/>
        <w:t xml:space="preserve"> Le coût est celui de la sortie plus celui de l’entrée. Le gain est la réduction du risque, mesurée par Portfolio Dependency.</w:t>
      </w:r>
    </w:p>
    <w:p w14:paraId="4AC1F733" w14:textId="77777777" w:rsidR="002167B3" w:rsidRDefault="0002325B">
      <w:pPr>
        <w:spacing w:before="240" w:after="240"/>
      </w:pPr>
      <w:r>
        <w:rPr>
          <w:b/>
          <w:bCs/>
        </w:rPr>
        <w:t>K. PARTIAL / STAGED EXIT — Sortie partielle ou étalée</w:t>
      </w:r>
      <w:r>
        <w:rPr>
          <w:b/>
          <w:bCs/>
        </w:rPr>
        <w:br/>
      </w:r>
      <w:r>
        <w:t xml:space="preserve"> Vendre seulement la partie « pas chère » de la courbe, ou vendre par morceaux dans le temps (TWAP).</w:t>
      </w:r>
      <w:r>
        <w:br/>
        <w:t xml:space="preserve"> Exemple : vendre 40 % maintenant à 0,8 % de </w:t>
      </w:r>
      <w:proofErr w:type="spellStart"/>
      <w:r>
        <w:t>slippage</w:t>
      </w:r>
      <w:proofErr w:type="spellEnd"/>
      <w:r>
        <w:t xml:space="preserve"> et garder le reste jusqu’à l’échéance. Ou vendre 10 % par jour pendant 4 jours.</w:t>
      </w:r>
      <w:r>
        <w:br/>
        <w:t xml:space="preserve"> </w:t>
      </w:r>
      <w:proofErr w:type="spellStart"/>
      <w:r>
        <w:t>Countermove</w:t>
      </w:r>
      <w:proofErr w:type="spellEnd"/>
      <w:r>
        <w:t xml:space="preserve"> calcule la part optimale à vendre, celle qui minimise </w:t>
      </w:r>
      <w:proofErr w:type="spellStart"/>
      <w:r>
        <w:t>slippage</w:t>
      </w:r>
      <w:proofErr w:type="spellEnd"/>
      <w:r>
        <w:t xml:space="preserve"> + perte attendue sur le reste.</w:t>
      </w:r>
    </w:p>
    <w:p w14:paraId="0E3530FA" w14:textId="77777777" w:rsidR="002167B3" w:rsidRDefault="0002325B">
      <w:pPr>
        <w:spacing w:before="240" w:after="240"/>
      </w:pPr>
      <w:r>
        <w:rPr>
          <w:b/>
          <w:bCs/>
        </w:rPr>
        <w:t>L. CONDITIONAL — Plan à déclencheur</w:t>
      </w:r>
      <w:r>
        <w:rPr>
          <w:b/>
          <w:bCs/>
        </w:rPr>
        <w:br/>
      </w:r>
      <w:r>
        <w:t xml:space="preserve"> Ne rien faire maintenant, mais fixer une action si un seuil est franchi.</w:t>
      </w:r>
      <w:r>
        <w:br/>
      </w:r>
      <w:r>
        <w:t xml:space="preserve"> Exemple : « Si l’ETH passe sous 2 400 $, rembourser 2 000 USDC. »</w:t>
      </w:r>
      <w:r>
        <w:br/>
        <w:t xml:space="preserve"> On garde le rendement tant que le danger n’est pas là. L’alerte Telegram sert de déclencheur.</w:t>
      </w:r>
    </w:p>
    <w:p w14:paraId="29A4AB4E" w14:textId="77777777" w:rsidR="002167B3" w:rsidRDefault="0002325B">
      <w:pPr>
        <w:spacing w:before="240" w:after="240"/>
      </w:pPr>
      <w:r>
        <w:rPr>
          <w:b/>
          <w:bCs/>
        </w:rPr>
        <w:t>M. COMBO — Combiner plusieurs actions</w:t>
      </w:r>
      <w:r>
        <w:rPr>
          <w:b/>
          <w:bCs/>
        </w:rPr>
        <w:br/>
      </w:r>
      <w:r>
        <w:rPr>
          <w:rFonts w:ascii="Arial Unicode MS" w:eastAsia="Arial Unicode MS" w:hAnsi="Arial Unicode MS" w:cs="Arial Unicode MS"/>
        </w:rPr>
        <w:t xml:space="preserve"> Associer deux petites actions au lieu d’une grosse.</w:t>
      </w:r>
      <w:r>
        <w:rPr>
          <w:rFonts w:ascii="Arial Unicode MS" w:eastAsia="Arial Unicode MS" w:hAnsi="Arial Unicode MS" w:cs="Arial Unicode MS"/>
        </w:rPr>
        <w:br/>
        <w:t xml:space="preserve"> Exemple : rembourser 1 000 USDC et ajouter 0,5 ETH. Après un choc de −30 % : 17 000 / (10,5 × 2 100) = 77,1 % de LTV, donc sous le seuil de 80 %.</w:t>
      </w:r>
      <w:r>
        <w:rPr>
          <w:rFonts w:ascii="Arial Unicode MS" w:eastAsia="Arial Unicode MS" w:hAnsi="Arial Unicode MS" w:cs="Arial Unicode MS"/>
        </w:rPr>
        <w:br/>
        <w:t xml:space="preserve"> </w:t>
      </w:r>
      <w:proofErr w:type="spellStart"/>
      <w:r>
        <w:rPr>
          <w:rFonts w:ascii="Arial Unicode MS" w:eastAsia="Arial Unicode MS" w:hAnsi="Arial Unicode MS" w:cs="Arial Unicode MS"/>
        </w:rPr>
        <w:t>Countermove</w:t>
      </w:r>
      <w:proofErr w:type="spellEnd"/>
      <w:r>
        <w:rPr>
          <w:rFonts w:ascii="Arial Unicode MS" w:eastAsia="Arial Unicode MS" w:hAnsi="Arial Unicode MS" w:cs="Arial Unicode MS"/>
        </w:rPr>
        <w:t xml:space="preserve"> cherche la combinaison la moins chère qui survit au choc.</w:t>
      </w:r>
    </w:p>
    <w:p w14:paraId="2D4CA9ED" w14:textId="77777777" w:rsidR="002167B3" w:rsidRDefault="0002325B">
      <w:pPr>
        <w:spacing w:before="240" w:after="240"/>
      </w:pPr>
      <w:r>
        <w:rPr>
          <w:b/>
          <w:bCs/>
        </w:rPr>
        <w:t>N. WAIT &amp; EARN — Rester déposé et attendre (côté prêteur)</w:t>
      </w:r>
      <w:r>
        <w:rPr>
          <w:b/>
          <w:bCs/>
        </w:rPr>
        <w:br/>
      </w:r>
      <w:r>
        <w:t xml:space="preserve"> Quand l’utilisation atteint 100 %, le taux d’emprunt grimpe. Les emprunteurs remboursent et </w:t>
      </w:r>
      <w:r>
        <w:lastRenderedPageBreak/>
        <w:t>la liquidité revient. Pendant ce temps, les prêteurs restés touchent un taux élevé.</w:t>
      </w:r>
      <w:r>
        <w:br/>
        <w:t xml:space="preserve"> Exemple : seulement 60 % de la position est retirable. Le taux passe de 6 % à 40 % par an et la liquidité revient en 2 à 3 jours. On attend en gagnant du rendement.</w:t>
      </w:r>
      <w:r>
        <w:br/>
        <w:t xml:space="preserve"> Le seul vrai risque est la mauvaise dette (</w:t>
      </w:r>
      <w:proofErr w:type="spellStart"/>
      <w:r>
        <w:t>bad</w:t>
      </w:r>
      <w:proofErr w:type="spellEnd"/>
      <w:r>
        <w:t xml:space="preserve"> </w:t>
      </w:r>
      <w:proofErr w:type="spellStart"/>
      <w:r>
        <w:t>debt</w:t>
      </w:r>
      <w:proofErr w:type="spellEnd"/>
      <w:r>
        <w:t>), si la garantie des emprunteurs s’effondre trop vite.</w:t>
      </w:r>
      <w:r>
        <w:br/>
      </w:r>
      <w:r>
        <w:t xml:space="preserve"> </w:t>
      </w:r>
      <w:proofErr w:type="spellStart"/>
      <w:r>
        <w:t>Countermove</w:t>
      </w:r>
      <w:proofErr w:type="spellEnd"/>
      <w:r>
        <w:t xml:space="preserve"> calcule le temps estimé de retour de la liquidité, le rendement gagné pendant l’attente et le risque de </w:t>
      </w:r>
      <w:proofErr w:type="spellStart"/>
      <w:r>
        <w:t>bad</w:t>
      </w:r>
      <w:proofErr w:type="spellEnd"/>
      <w:r>
        <w:t xml:space="preserve"> </w:t>
      </w:r>
      <w:proofErr w:type="spellStart"/>
      <w:r>
        <w:t>debt</w:t>
      </w:r>
      <w:proofErr w:type="spellEnd"/>
      <w:r>
        <w:t xml:space="preserve"> (marge avant liquidation, qualité de l’oracle).</w:t>
      </w:r>
      <w:r>
        <w:br/>
        <w:t xml:space="preserve"> Verdict : attendre si la garantie est saine, retirer tout de suite (option I) si la garantie est le problème.</w:t>
      </w:r>
    </w:p>
    <w:p w14:paraId="711FB3B9" w14:textId="77777777" w:rsidR="002167B3" w:rsidRDefault="002167B3">
      <w:pPr>
        <w:spacing w:before="240" w:after="240"/>
      </w:pPr>
    </w:p>
    <w:p w14:paraId="683EBD1C" w14:textId="77777777" w:rsidR="002167B3" w:rsidRDefault="002167B3">
      <w:pPr>
        <w:spacing w:before="240" w:after="240"/>
      </w:pPr>
    </w:p>
    <w:p w14:paraId="49E9D395" w14:textId="77777777" w:rsidR="002167B3" w:rsidRDefault="002167B3">
      <w:pPr>
        <w:spacing w:before="240" w:after="240"/>
      </w:pPr>
    </w:p>
    <w:p w14:paraId="2A66D100" w14:textId="77777777" w:rsidR="002167B3" w:rsidRDefault="002167B3">
      <w:pPr>
        <w:spacing w:before="240" w:after="240"/>
      </w:pPr>
    </w:p>
    <w:p w14:paraId="456CA69F" w14:textId="77777777" w:rsidR="002167B3" w:rsidRDefault="002167B3">
      <w:pPr>
        <w:spacing w:before="240" w:after="240"/>
      </w:pPr>
    </w:p>
    <w:p w14:paraId="7440EF62" w14:textId="77777777" w:rsidR="002167B3" w:rsidRDefault="002167B3">
      <w:pPr>
        <w:spacing w:before="240" w:after="240"/>
      </w:pPr>
    </w:p>
    <w:p w14:paraId="7A2C89B2" w14:textId="77777777" w:rsidR="002167B3" w:rsidRDefault="002167B3">
      <w:pPr>
        <w:spacing w:before="240" w:after="240"/>
      </w:pPr>
    </w:p>
    <w:p w14:paraId="19AB5EB0" w14:textId="77777777" w:rsidR="002167B3" w:rsidRDefault="002167B3">
      <w:pPr>
        <w:spacing w:before="240" w:after="240"/>
      </w:pPr>
    </w:p>
    <w:p w14:paraId="5E5C4480" w14:textId="77777777" w:rsidR="002167B3" w:rsidRDefault="0002325B">
      <w:pPr>
        <w:spacing w:before="240" w:after="240"/>
        <w:rPr>
          <w:b/>
          <w:bCs/>
        </w:rPr>
      </w:pPr>
      <w:r>
        <w:t xml:space="preserve">Décisions : </w:t>
      </w:r>
      <w:r>
        <w:br/>
      </w:r>
      <w:r>
        <w:rPr>
          <w:b/>
          <w:bCs/>
        </w:rPr>
        <w:t>A. HOLD — Ne rien faire</w:t>
      </w:r>
    </w:p>
    <w:p w14:paraId="14BCD60B" w14:textId="77777777" w:rsidR="002167B3" w:rsidRDefault="0002325B">
      <w:pPr>
        <w:spacing w:before="240" w:after="240"/>
      </w:pPr>
      <w:r>
        <w:t>Simuler le choc sans intervention. FAULTLINE indique si la position casse et à partir de quel seuil (Breaking Point).</w:t>
      </w:r>
    </w:p>
    <w:p w14:paraId="2B6C1AEC" w14:textId="77777777" w:rsidR="002167B3" w:rsidRDefault="0002325B">
      <w:pPr>
        <w:spacing w:before="240" w:after="240"/>
      </w:pPr>
      <w:r>
        <w:t>Exemple : liquidation possible dès que l’ETH descend vers 2 250 $.</w:t>
      </w:r>
    </w:p>
    <w:p w14:paraId="6D5188AD" w14:textId="77777777" w:rsidR="002167B3" w:rsidRDefault="0002325B">
      <w:pPr>
        <w:spacing w:before="240" w:after="240"/>
        <w:rPr>
          <w:b/>
          <w:bCs/>
        </w:rPr>
      </w:pPr>
      <w:r>
        <w:rPr>
          <w:b/>
          <w:bCs/>
        </w:rPr>
        <w:t>B. FULL EXIT — Sortir complètement maintenant</w:t>
      </w:r>
    </w:p>
    <w:p w14:paraId="6BF556D9" w14:textId="77777777" w:rsidR="002167B3" w:rsidRDefault="0002325B">
      <w:pPr>
        <w:spacing w:before="240" w:after="240"/>
      </w:pPr>
      <w:r>
        <w:rPr>
          <w:rFonts w:ascii="Arial Unicode MS" w:eastAsia="Arial Unicode MS" w:hAnsi="Arial Unicode MS" w:cs="Arial Unicode MS"/>
        </w:rPr>
        <w:t xml:space="preserve">La référence à battre. Coût = </w:t>
      </w:r>
      <w:proofErr w:type="spellStart"/>
      <w:r>
        <w:rPr>
          <w:rFonts w:ascii="Arial Unicode MS" w:eastAsia="Arial Unicode MS" w:hAnsi="Arial Unicode MS" w:cs="Arial Unicode MS"/>
        </w:rPr>
        <w:t>slippage</w:t>
      </w:r>
      <w:proofErr w:type="spellEnd"/>
      <w:r>
        <w:rPr>
          <w:rFonts w:ascii="Arial Unicode MS" w:eastAsia="Arial Unicode MS" w:hAnsi="Arial Unicode MS" w:cs="Arial Unicode MS"/>
        </w:rPr>
        <w:t xml:space="preserve"> sur l’AMM, en tenant compte des ventes forcées qui passent avant nous : C(A + x) − C(A), via </w:t>
      </w:r>
      <w:proofErr w:type="spellStart"/>
      <w:r>
        <w:rPr>
          <w:rFonts w:ascii="Arial Unicode MS" w:eastAsia="Arial Unicode MS" w:hAnsi="Arial Unicode MS" w:cs="Arial Unicode MS"/>
        </w:rPr>
        <w:t>Whale</w:t>
      </w:r>
      <w:proofErr w:type="spellEnd"/>
      <w:r>
        <w:rPr>
          <w:rFonts w:ascii="Arial Unicode MS" w:eastAsia="Arial Unicode MS" w:hAnsi="Arial Unicode MS" w:cs="Arial Unicode MS"/>
        </w:rPr>
        <w:t xml:space="preserve"> Impact et Cascade Radar.</w:t>
      </w:r>
    </w:p>
    <w:p w14:paraId="3E11A25E" w14:textId="77777777" w:rsidR="002167B3" w:rsidRDefault="0002325B">
      <w:pPr>
        <w:spacing w:before="240" w:after="240"/>
      </w:pPr>
      <w:r>
        <w:rPr>
          <w:rFonts w:ascii="Arial Unicode MS" w:eastAsia="Arial Unicode MS" w:hAnsi="Arial Unicode MS" w:cs="Arial Unicode MS"/>
        </w:rPr>
        <w:t>Exemple : sortir le PT-</w:t>
      </w:r>
      <w:proofErr w:type="spellStart"/>
      <w:r>
        <w:rPr>
          <w:rFonts w:ascii="Arial Unicode MS" w:eastAsia="Arial Unicode MS" w:hAnsi="Arial Unicode MS" w:cs="Arial Unicode MS"/>
        </w:rPr>
        <w:t>sUSDe</w:t>
      </w:r>
      <w:proofErr w:type="spellEnd"/>
      <w:r>
        <w:rPr>
          <w:rFonts w:ascii="Arial Unicode MS" w:eastAsia="Arial Unicode MS" w:hAnsi="Arial Unicode MS" w:cs="Arial Unicode MS"/>
        </w:rPr>
        <w:t xml:space="preserve"> coûte −11 %.</w:t>
      </w:r>
    </w:p>
    <w:p w14:paraId="458EBA67" w14:textId="77777777" w:rsidR="002167B3" w:rsidRPr="00845FB0" w:rsidRDefault="0002325B">
      <w:pPr>
        <w:spacing w:before="240" w:after="240"/>
        <w:rPr>
          <w:b/>
          <w:bCs/>
          <w:lang w:val="en-US"/>
        </w:rPr>
      </w:pPr>
      <w:r w:rsidRPr="00845FB0">
        <w:rPr>
          <w:b/>
          <w:bCs/>
          <w:lang w:val="en-US"/>
        </w:rPr>
        <w:t xml:space="preserve">C. HOLD TO MATURITY — Garder </w:t>
      </w:r>
      <w:proofErr w:type="spellStart"/>
      <w:r w:rsidRPr="00845FB0">
        <w:rPr>
          <w:b/>
          <w:bCs/>
          <w:lang w:val="en-US"/>
        </w:rPr>
        <w:t>jusqu’à</w:t>
      </w:r>
      <w:proofErr w:type="spellEnd"/>
      <w:r w:rsidRPr="00845FB0">
        <w:rPr>
          <w:b/>
          <w:bCs/>
          <w:lang w:val="en-US"/>
        </w:rPr>
        <w:t xml:space="preserve"> </w:t>
      </w:r>
      <w:proofErr w:type="spellStart"/>
      <w:r w:rsidRPr="00845FB0">
        <w:rPr>
          <w:b/>
          <w:bCs/>
          <w:lang w:val="en-US"/>
        </w:rPr>
        <w:t>l’échéance</w:t>
      </w:r>
      <w:proofErr w:type="spellEnd"/>
    </w:p>
    <w:p w14:paraId="0F91DB7C" w14:textId="77777777" w:rsidR="002167B3" w:rsidRDefault="0002325B">
      <w:pPr>
        <w:spacing w:before="240" w:after="240"/>
      </w:pPr>
      <w:r>
        <w:t xml:space="preserve">Un PT est remboursé au pair à l’échéance, sans </w:t>
      </w:r>
      <w:proofErr w:type="spellStart"/>
      <w:r>
        <w:t>slippage</w:t>
      </w:r>
      <w:proofErr w:type="spellEnd"/>
      <w:r>
        <w:t>.</w:t>
      </w:r>
    </w:p>
    <w:p w14:paraId="699DE442" w14:textId="77777777" w:rsidR="002167B3" w:rsidRDefault="0002325B">
      <w:pPr>
        <w:spacing w:before="240" w:after="240"/>
      </w:pPr>
      <w:r>
        <w:rPr>
          <w:rFonts w:ascii="Arial Unicode MS" w:eastAsia="Arial Unicode MS" w:hAnsi="Arial Unicode MS" w:cs="Arial Unicode MS"/>
        </w:rPr>
        <w:t>Exemple : PT-</w:t>
      </w:r>
      <w:proofErr w:type="spellStart"/>
      <w:r>
        <w:rPr>
          <w:rFonts w:ascii="Arial Unicode MS" w:eastAsia="Arial Unicode MS" w:hAnsi="Arial Unicode MS" w:cs="Arial Unicode MS"/>
        </w:rPr>
        <w:t>sUSDe</w:t>
      </w:r>
      <w:proofErr w:type="spellEnd"/>
      <w:r>
        <w:rPr>
          <w:rFonts w:ascii="Arial Unicode MS" w:eastAsia="Arial Unicode MS" w:hAnsi="Arial Unicode MS" w:cs="Arial Unicode MS"/>
        </w:rPr>
        <w:t xml:space="preserve"> acheté à 0,97 $, échéance dans 12 jours. Vendre maintenant rapporte 0,89 $ (−11 %). Attendre l’échéance rapporte 1,00 $ si l’émetteur tient.</w:t>
      </w:r>
    </w:p>
    <w:p w14:paraId="694AAB5D" w14:textId="77777777" w:rsidR="002167B3" w:rsidRDefault="0002325B">
      <w:pPr>
        <w:spacing w:before="240" w:after="240"/>
      </w:pPr>
      <w:proofErr w:type="spellStart"/>
      <w:r>
        <w:t>Countermove</w:t>
      </w:r>
      <w:proofErr w:type="spellEnd"/>
      <w:r>
        <w:t xml:space="preserve"> compare la perte attendue jusqu’à l’échéance avec le coût de sortie immédiat. L’option est éliminée si la menace vient de l’émetteur.</w:t>
      </w:r>
    </w:p>
    <w:p w14:paraId="709D047F" w14:textId="77777777" w:rsidR="002167B3" w:rsidRDefault="0002325B">
      <w:pPr>
        <w:spacing w:before="240" w:after="240"/>
        <w:rPr>
          <w:b/>
          <w:bCs/>
        </w:rPr>
      </w:pPr>
      <w:r>
        <w:rPr>
          <w:b/>
          <w:bCs/>
        </w:rPr>
        <w:lastRenderedPageBreak/>
        <w:t xml:space="preserve">D. PARTIAL EXIT — Sortie partielle (et </w:t>
      </w:r>
      <w:proofErr w:type="spellStart"/>
      <w:r>
        <w:rPr>
          <w:b/>
          <w:bCs/>
        </w:rPr>
        <w:t>deleverage</w:t>
      </w:r>
      <w:proofErr w:type="spellEnd"/>
      <w:r>
        <w:rPr>
          <w:b/>
          <w:bCs/>
        </w:rPr>
        <w:t>)</w:t>
      </w:r>
    </w:p>
    <w:p w14:paraId="52C263B0" w14:textId="77777777" w:rsidR="002167B3" w:rsidRDefault="0002325B">
      <w:pPr>
        <w:spacing w:before="240" w:after="240"/>
      </w:pPr>
      <w:r>
        <w:t>Vendre seulement la partie « pas chère » de la courbe de liquidité, ou vendre par morceaux dans le temps.</w:t>
      </w:r>
    </w:p>
    <w:p w14:paraId="067731FB" w14:textId="77777777" w:rsidR="002167B3" w:rsidRDefault="0002325B">
      <w:pPr>
        <w:spacing w:before="240" w:after="240"/>
      </w:pPr>
      <w:r>
        <w:t xml:space="preserve">Pour un PT : vendre 40 % maintenant à 0,8 % de </w:t>
      </w:r>
      <w:proofErr w:type="spellStart"/>
      <w:r>
        <w:t>slippage</w:t>
      </w:r>
      <w:proofErr w:type="spellEnd"/>
      <w:r>
        <w:t xml:space="preserve"> et garder le reste jusqu’à l’échéance.</w:t>
      </w:r>
    </w:p>
    <w:p w14:paraId="25C511E6" w14:textId="77777777" w:rsidR="002167B3" w:rsidRDefault="0002325B">
      <w:pPr>
        <w:spacing w:before="240" w:after="240"/>
      </w:pPr>
      <w:r>
        <w:t>Pour un emprunteur (</w:t>
      </w:r>
      <w:proofErr w:type="spellStart"/>
      <w:r>
        <w:t>deleverage</w:t>
      </w:r>
      <w:proofErr w:type="spellEnd"/>
      <w:r>
        <w:t xml:space="preserve">) : vendre 2 ETH et utiliser les 6 000 USDC reçus pour rembourser la dette. Il reste 8 ETH et 12 000 USDC de dette, avec un LTV de 71,4 % après le choc. Le </w:t>
      </w:r>
      <w:proofErr w:type="spellStart"/>
      <w:r>
        <w:t>slippage</w:t>
      </w:r>
      <w:proofErr w:type="spellEnd"/>
      <w:r>
        <w:t xml:space="preserve"> de la vente est pris dans </w:t>
      </w:r>
      <w:proofErr w:type="spellStart"/>
      <w:r>
        <w:t>Whale</w:t>
      </w:r>
      <w:proofErr w:type="spellEnd"/>
      <w:r>
        <w:t xml:space="preserve"> Impact.</w:t>
      </w:r>
    </w:p>
    <w:p w14:paraId="144C6260" w14:textId="77777777" w:rsidR="002167B3" w:rsidRDefault="0002325B">
      <w:pPr>
        <w:spacing w:before="240" w:after="240"/>
      </w:pPr>
      <w:proofErr w:type="spellStart"/>
      <w:r>
        <w:t>Countermove</w:t>
      </w:r>
      <w:proofErr w:type="spellEnd"/>
      <w:r>
        <w:t xml:space="preserve"> calcule la part optimale à vendre, celle qui minimise </w:t>
      </w:r>
      <w:proofErr w:type="spellStart"/>
      <w:r>
        <w:t>slippage</w:t>
      </w:r>
      <w:proofErr w:type="spellEnd"/>
      <w:r>
        <w:t xml:space="preserve"> + perte attendue sur le reste.</w:t>
      </w:r>
    </w:p>
    <w:p w14:paraId="5166AABB" w14:textId="77777777" w:rsidR="002167B3" w:rsidRDefault="0002325B">
      <w:pPr>
        <w:spacing w:before="240" w:after="240"/>
        <w:rPr>
          <w:b/>
          <w:bCs/>
        </w:rPr>
      </w:pPr>
      <w:r>
        <w:rPr>
          <w:b/>
          <w:bCs/>
        </w:rPr>
        <w:t>E. REINFORCE — Renforcer la position (rembourser ou ajouter du collatéral)</w:t>
      </w:r>
    </w:p>
    <w:p w14:paraId="6AB0A810" w14:textId="77777777" w:rsidR="002167B3" w:rsidRDefault="0002325B">
      <w:pPr>
        <w:spacing w:before="240" w:after="240"/>
      </w:pPr>
      <w:r>
        <w:t>Deux façons d’éloigner la liquidation :</w:t>
      </w:r>
    </w:p>
    <w:p w14:paraId="162C6FBE" w14:textId="77777777" w:rsidR="002167B3" w:rsidRDefault="0002325B">
      <w:pPr>
        <w:spacing w:before="240" w:after="240"/>
      </w:pPr>
      <w:r>
        <w:rPr>
          <w:rFonts w:ascii="Arial Unicode MS" w:eastAsia="Arial Unicode MS" w:hAnsi="Arial Unicode MS" w:cs="Arial Unicode MS"/>
        </w:rPr>
        <w:t>Rembourser 2 000 USDC : la dette passe à 16 000 $ et le LTV après un choc de −30 % est de 76,2 %.</w:t>
      </w:r>
    </w:p>
    <w:p w14:paraId="41C77E27" w14:textId="77777777" w:rsidR="002167B3" w:rsidRDefault="0002325B">
      <w:pPr>
        <w:spacing w:before="240" w:after="240"/>
      </w:pPr>
      <w:r>
        <w:t>Ajouter 1 ETH de collatéral : avec 11 ETH, le LTV après le choc est de 77,9 %, mais on expose plus d’ETH à une baisse.</w:t>
      </w:r>
    </w:p>
    <w:p w14:paraId="1D3F6581" w14:textId="77777777" w:rsidR="002167B3" w:rsidRDefault="0002325B">
      <w:pPr>
        <w:spacing w:before="240" w:after="240"/>
      </w:pPr>
      <w:proofErr w:type="spellStart"/>
      <w:r>
        <w:t>Countermove</w:t>
      </w:r>
      <w:proofErr w:type="spellEnd"/>
      <w:r>
        <w:t xml:space="preserve"> calcule le montant minimal pour survivre au choc, avec une marge de sécurité configurable, et choisit la façon la moins chère.</w:t>
      </w:r>
    </w:p>
    <w:p w14:paraId="2425B658" w14:textId="77777777" w:rsidR="002167B3" w:rsidRDefault="0002325B">
      <w:pPr>
        <w:spacing w:before="240" w:after="240"/>
        <w:rPr>
          <w:b/>
          <w:bCs/>
        </w:rPr>
      </w:pPr>
      <w:r>
        <w:rPr>
          <w:b/>
          <w:bCs/>
        </w:rPr>
        <w:t>F. WITHDRAW EARLY — Retirer avant la ruée (côté prêteur)</w:t>
      </w:r>
    </w:p>
    <w:p w14:paraId="55D11573" w14:textId="77777777" w:rsidR="002167B3" w:rsidRDefault="0002325B">
      <w:pPr>
        <w:spacing w:before="240" w:after="240"/>
      </w:pPr>
      <w:r>
        <w:t>Pour un dépôt sur Morpho : retirer pendant qu’il reste de la liquidité.</w:t>
      </w:r>
    </w:p>
    <w:p w14:paraId="5130C18E" w14:textId="77777777" w:rsidR="002167B3" w:rsidRDefault="0002325B">
      <w:pPr>
        <w:spacing w:before="240" w:after="240"/>
      </w:pPr>
      <w:r>
        <w:t xml:space="preserve">Exemple : l’utilisation est à 92 % et monte. Il reste 8 M$ retirables. Si on attend que les </w:t>
      </w:r>
      <w:proofErr w:type="spellStart"/>
      <w:r>
        <w:t>whales</w:t>
      </w:r>
      <w:proofErr w:type="spellEnd"/>
      <w:r>
        <w:t xml:space="preserve"> sortent, environ 40 % de la position reste bloquée.</w:t>
      </w:r>
    </w:p>
    <w:p w14:paraId="567E4A30" w14:textId="77777777" w:rsidR="002167B3" w:rsidRDefault="0002325B">
      <w:pPr>
        <w:spacing w:before="240" w:after="240"/>
      </w:pPr>
      <w:proofErr w:type="spellStart"/>
      <w:r>
        <w:t>Countermove</w:t>
      </w:r>
      <w:proofErr w:type="spellEnd"/>
      <w:r>
        <w:t xml:space="preserve"> compare la part bloquée si on attend avec la part récupérable maintenant.</w:t>
      </w:r>
    </w:p>
    <w:p w14:paraId="45F0F8F7" w14:textId="77777777" w:rsidR="002167B3" w:rsidRDefault="0002325B">
      <w:pPr>
        <w:spacing w:before="240" w:after="240"/>
        <w:rPr>
          <w:b/>
          <w:bCs/>
        </w:rPr>
      </w:pPr>
      <w:r>
        <w:rPr>
          <w:b/>
          <w:bCs/>
        </w:rPr>
        <w:t>G. WAIT &amp; EARN — Rester déposé et attendre (côté prêteur)</w:t>
      </w:r>
    </w:p>
    <w:p w14:paraId="488BFA4A" w14:textId="77777777" w:rsidR="002167B3" w:rsidRDefault="0002325B">
      <w:pPr>
        <w:spacing w:before="240" w:after="240"/>
      </w:pPr>
      <w:r>
        <w:t>Quand l’utilisation atteint 100 %, le taux d’emprunt grimpe. Les emprunteurs remboursent et la liquidité revient, pendant que les prêteurs restés touchent un taux élevé.</w:t>
      </w:r>
    </w:p>
    <w:p w14:paraId="3D0DCB90" w14:textId="77777777" w:rsidR="002167B3" w:rsidRDefault="0002325B">
      <w:pPr>
        <w:spacing w:before="240" w:after="240"/>
      </w:pPr>
      <w:r>
        <w:t>Exemple : 60 % de la position est retirable. Le taux passe de 6 % à 40 % par an et la liquidité revient en 2 à 3 jours.</w:t>
      </w:r>
    </w:p>
    <w:p w14:paraId="5547359E" w14:textId="77777777" w:rsidR="002167B3" w:rsidRDefault="0002325B">
      <w:pPr>
        <w:spacing w:before="240" w:after="240"/>
      </w:pPr>
      <w:r>
        <w:t>Le risque est la mauvaise dette (</w:t>
      </w:r>
      <w:proofErr w:type="spellStart"/>
      <w:r>
        <w:t>bad</w:t>
      </w:r>
      <w:proofErr w:type="spellEnd"/>
      <w:r>
        <w:t xml:space="preserve"> </w:t>
      </w:r>
      <w:proofErr w:type="spellStart"/>
      <w:r>
        <w:t>debt</w:t>
      </w:r>
      <w:proofErr w:type="spellEnd"/>
      <w:r>
        <w:t>), évaluée par Cascade Radar. Verdict : attendre si la garantie est saine, sinon WITHDRAW EARLY.</w:t>
      </w:r>
    </w:p>
    <w:p w14:paraId="27E0D43A" w14:textId="77777777" w:rsidR="002167B3" w:rsidRDefault="0002325B">
      <w:pPr>
        <w:spacing w:before="240" w:after="240"/>
      </w:pPr>
      <w:r>
        <w:t>Déclencheur, pour toutes les options (ancienne option CONDITIONAL)</w:t>
      </w:r>
    </w:p>
    <w:p w14:paraId="773A8923" w14:textId="77777777" w:rsidR="002167B3" w:rsidRDefault="0002325B">
      <w:pPr>
        <w:spacing w:before="240" w:after="240"/>
      </w:pPr>
      <w:r>
        <w:lastRenderedPageBreak/>
        <w:t>Chaque recommandation est accompagnée d’un seuil de déclenchement. Exemple : « HOLD pour l’instant. Si l’ETH passe sous 2 400 $, rembourser 2 000 USDC. »</w:t>
      </w:r>
    </w:p>
    <w:p w14:paraId="1BABFC47" w14:textId="77777777" w:rsidR="002167B3" w:rsidRDefault="0002325B">
      <w:pPr>
        <w:spacing w:before="240" w:after="240"/>
      </w:pPr>
      <w:r>
        <w:t>Ce seuil est envoyé par alerte Telegram : on garde le rendement tant que le danger n’est pas là.</w:t>
      </w:r>
    </w:p>
    <w:p w14:paraId="2FF9ED4F" w14:textId="77777777" w:rsidR="002167B3" w:rsidRPr="00845FB0" w:rsidRDefault="0002325B">
      <w:pPr>
        <w:spacing w:before="240" w:after="240"/>
        <w:rPr>
          <w:lang w:val="en-US"/>
        </w:rPr>
      </w:pPr>
      <w:r w:rsidRPr="00845FB0">
        <w:rPr>
          <w:lang w:val="en-US"/>
        </w:rPr>
        <w:t>Plus tard : HEDGE, MERGE, REDEEM, REALLOCATE, COMBO.</w:t>
      </w:r>
    </w:p>
    <w:p w14:paraId="2211CE69" w14:textId="77777777" w:rsidR="002167B3" w:rsidRPr="00845FB0" w:rsidRDefault="002167B3">
      <w:pPr>
        <w:rPr>
          <w:lang w:val="en-US"/>
        </w:rPr>
      </w:pPr>
    </w:p>
    <w:sectPr w:rsidR="002167B3" w:rsidRPr="00845FB0">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Unicode MS">
    <w:altName w:val="Arial"/>
    <w:panose1 w:val="020B0604020202020204"/>
    <w:charset w:val="00"/>
    <w:family w:val="auto"/>
    <w:pitch w:val="default"/>
  </w:font>
  <w:font w:name="Calibri">
    <w:panose1 w:val="020F0502020204030204"/>
    <w:charset w:val="00"/>
    <w:family w:val="swiss"/>
    <w:pitch w:val="variable"/>
    <w:sig w:usb0="E4002EFF" w:usb1="C200247B" w:usb2="00000009" w:usb3="00000000" w:csb0="000001FF" w:csb1="00000000"/>
    <w:embedRegular r:id="rId1" w:fontKey="{20A86867-1E74-4CC5-B18E-508D66927576}"/>
  </w:font>
  <w:font w:name="Cambria">
    <w:panose1 w:val="02040503050406030204"/>
    <w:charset w:val="00"/>
    <w:family w:val="roman"/>
    <w:pitch w:val="variable"/>
    <w:sig w:usb0="E00006FF" w:usb1="420024FF" w:usb2="02000000" w:usb3="00000000" w:csb0="0000019F" w:csb1="00000000"/>
    <w:embedRegular r:id="rId2" w:fontKey="{CB71E1BC-6E2E-4EC6-8275-0B1989CBAF8A}"/>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444175"/>
    <w:multiLevelType w:val="multilevel"/>
    <w:tmpl w:val="47AA9E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2672729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167B3"/>
    <w:rsid w:val="002167B3"/>
    <w:rsid w:val="00845FB0"/>
    <w:rsid w:val="00E9164C"/>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D74D12"/>
  <w15:docId w15:val="{9424B7ED-B997-4825-83E4-CC0B371663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f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character" w:styleId="Hyperlink">
    <w:name w:val="Hyperlink"/>
    <w:basedOn w:val="DefaultParagraphFont"/>
    <w:uiPriority w:val="99"/>
    <w:unhideWhenUsed/>
    <w:rsid w:val="00845FB0"/>
    <w:rPr>
      <w:color w:val="0000FF" w:themeColor="hyperlink"/>
      <w:u w:val="single"/>
    </w:rPr>
  </w:style>
  <w:style w:type="character" w:styleId="UnresolvedMention">
    <w:name w:val="Unresolved Mention"/>
    <w:basedOn w:val="DefaultParagraphFont"/>
    <w:uiPriority w:val="99"/>
    <w:semiHidden/>
    <w:unhideWhenUsed/>
    <w:rsid w:val="00845FB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t.me/rockawayxvault" TargetMode="External"/><Relationship Id="rId13" Type="http://schemas.openxmlformats.org/officeDocument/2006/relationships/hyperlink" Target="https://dune.com/rockawayxvault/rockawayx-dashboard" TargetMode="External"/><Relationship Id="rId3" Type="http://schemas.openxmlformats.org/officeDocument/2006/relationships/settings" Target="settings.xml"/><Relationship Id="rId7" Type="http://schemas.openxmlformats.org/officeDocument/2006/relationships/hyperlink" Target="https://dune.com/rockawayxvault/rockawayx-dashboard" TargetMode="External"/><Relationship Id="rId12" Type="http://schemas.openxmlformats.org/officeDocument/2006/relationships/hyperlink" Target="https://t.me/rockawayxvault"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dune.com/rockawayxvault/rockawayx-dashboard" TargetMode="External"/><Relationship Id="rId11" Type="http://schemas.openxmlformats.org/officeDocument/2006/relationships/hyperlink" Target="https://t.me/rockawayxvault" TargetMode="External"/><Relationship Id="rId5" Type="http://schemas.openxmlformats.org/officeDocument/2006/relationships/hyperlink" Target="https://dune.com/rockawayxvault/rockawayx-dashboard" TargetMode="External"/><Relationship Id="rId15" Type="http://schemas.openxmlformats.org/officeDocument/2006/relationships/fontTable" Target="fontTable.xml"/><Relationship Id="rId10" Type="http://schemas.openxmlformats.org/officeDocument/2006/relationships/hyperlink" Target="https://t.me/rockawayxvault" TargetMode="External"/><Relationship Id="rId4" Type="http://schemas.openxmlformats.org/officeDocument/2006/relationships/webSettings" Target="webSettings.xml"/><Relationship Id="rId9" Type="http://schemas.openxmlformats.org/officeDocument/2006/relationships/hyperlink" Target="https://t.me/rockawayxvault" TargetMode="External"/><Relationship Id="rId14" Type="http://schemas.openxmlformats.org/officeDocument/2006/relationships/image" Target="media/image1.png"/></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8</Pages>
  <Words>2362</Words>
  <Characters>13467</Characters>
  <Application>Microsoft Office Word</Application>
  <DocSecurity>0</DocSecurity>
  <Lines>112</Lines>
  <Paragraphs>31</Paragraphs>
  <ScaleCrop>false</ScaleCrop>
  <Company/>
  <LinksUpToDate>false</LinksUpToDate>
  <CharactersWithSpaces>15798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Mohamed Amine Nouira</cp:lastModifiedBy>
  <cp:revision>2</cp:revision>
  <dcterms:created xsi:type="dcterms:W3CDTF">2026-10-10T17:15:00Z</dcterms:created>
  <dcterms:modified xsi:type="dcterms:W3CDTF">2026-10-10T17:19:00Z</dcterms:modified>
</cp:coreProperties>
</file>