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0"/>
        </w:rPr>
        <w:t>Offline Knowledge Distillation for a Compact Medical Language Model</w:t>
      </w:r>
    </w:p>
    <w:p>
      <w:pPr>
        <w:spacing w:after="240"/>
        <w:jc w:val="center"/>
      </w:pPr>
      <w:r>
        <w:rPr>
          <w:b/>
        </w:rPr>
        <w:t>Deep Learning with Python - Course Project 2026</w:t>
        <w:br/>
      </w:r>
      <w:r>
        <w:t>Option 2: comparison of transfer-learning strategies</w:t>
        <w:br/>
      </w:r>
      <w:r>
        <w:t>Applied MSc in Data Science &amp; AI / Data Engineering &amp; AI</w:t>
      </w:r>
    </w:p>
    <w:p>
      <w:pPr>
        <w:pStyle w:val="Heading1"/>
      </w:pPr>
      <w:r>
        <w:t>1. Project Overview</w:t>
      </w:r>
    </w:p>
    <w:p>
      <w:r>
        <w:t>This project studies whether offline knowledge distillation can adapt a compact medical language model using a larger instruction-tuned teacher. The teacher is Llama-3.1-8B-Instruct and the student is Llama-3.2-1B-Instruct. The student is trained with LoRA while the base weights remain quantized.</w:t>
      </w:r>
    </w:p>
    <w:p>
      <w:pPr>
        <w:pStyle w:val="ListBullet"/>
        <w:spacing w:after="40"/>
      </w:pPr>
      <w:r>
        <w:t>Task: causal language modeling on medical text.</w:t>
      </w:r>
    </w:p>
    <w:p>
      <w:pPr>
        <w:pStyle w:val="ListBullet"/>
        <w:spacing w:after="40"/>
      </w:pPr>
      <w:r>
        <w:t>Research question: does soft supervision from the larger teacher improve the validation perplexity of the smaller student compared with the unadapted student?</w:t>
      </w:r>
    </w:p>
    <w:p>
      <w:pPr>
        <w:pStyle w:val="ListBullet"/>
        <w:spacing w:after="40"/>
      </w:pPr>
      <w:r>
        <w:t>Why it matters: a smaller model may reduce memory and latency while retaining part of the teacher's domain behavior.</w:t>
      </w:r>
    </w:p>
    <w:p>
      <w:pPr>
        <w:pStyle w:val="ListBullet"/>
        <w:spacing w:after="40"/>
      </w:pPr>
      <w:r>
        <w:t>Approach: decouple teacher inference from student training by caching teacher top-k logits on disk.</w:t>
      </w:r>
    </w:p>
    <w:p>
      <w:pPr>
        <w:pStyle w:val="Heading1"/>
      </w:pPr>
      <w:r>
        <w:t>2. Method</w:t>
      </w:r>
    </w:p>
    <w:p>
      <w:pPr>
        <w:pStyle w:val="Heading2"/>
      </w:pPr>
      <w:r>
        <w:t>2.1 Dataset and sampling</w:t>
      </w:r>
    </w:p>
    <w:p>
      <w:r>
        <w:t>The experiment uses the public Hugging Face dataset Saminx22/medical_data_for_slm. The current notebooks load the text field, use the first 100 examples from the training split for distillation, and evaluate the first 50 examples from the validation split. The validation examples are not used to create the cached teacher targets.</w:t>
      </w:r>
    </w:p>
    <w:p>
      <w:pPr>
        <w:pStyle w:val="ListBullet"/>
        <w:spacing w:after="40"/>
      </w:pPr>
      <w:r>
        <w:t>Training subset: train[:100].</w:t>
      </w:r>
    </w:p>
    <w:p>
      <w:pPr>
        <w:pStyle w:val="ListBullet"/>
        <w:spacing w:after="40"/>
      </w:pPr>
      <w:r>
        <w:t>Validation subset: validation[:50].</w:t>
      </w:r>
    </w:p>
    <w:p>
      <w:pPr>
        <w:pStyle w:val="ListBullet"/>
        <w:spacing w:after="40"/>
      </w:pPr>
      <w:r>
        <w:t>Teacher extraction context: at most 128 tokens after taking the first 256 characters of each text.</w:t>
      </w:r>
    </w:p>
    <w:p>
      <w:pPr>
        <w:pStyle w:val="ListBullet"/>
        <w:spacing w:after="40"/>
      </w:pPr>
      <w:r>
        <w:t>Validation context: at most 256 tokens after taking the first 512 characters of each text.</w:t>
      </w:r>
    </w:p>
    <w:p>
      <w:pPr>
        <w:pStyle w:val="ListBullet"/>
        <w:spacing w:after="40"/>
      </w:pPr>
      <w:r>
        <w:t>The sample is intentionally small and should be interpreted as a feasibility experiment, not a corpus-wide estimate.</w:t>
      </w:r>
    </w:p>
    <w:p>
      <w:pPr>
        <w:pStyle w:val="Heading2"/>
      </w:pPr>
      <w:r>
        <w:t>2.2 Models and preprocessing</w:t>
      </w:r>
    </w:p>
    <w:p>
      <w:pPr>
        <w:pStyle w:val="ListBullet"/>
        <w:spacing w:after="40"/>
      </w:pPr>
      <w:r>
        <w:t>Teacher: meta-llama/Llama-3.1-8B-Instruct, loaded in 4-bit NF4 quantization.</w:t>
      </w:r>
    </w:p>
    <w:p>
      <w:pPr>
        <w:pStyle w:val="ListBullet"/>
        <w:spacing w:after="40"/>
      </w:pPr>
      <w:r>
        <w:t>Student: meta-llama/Llama-3.2-1B-Instruct, loaded in 4-bit precision and adapted with LoRA.</w:t>
      </w:r>
    </w:p>
    <w:p>
      <w:pPr>
        <w:pStyle w:val="ListBullet"/>
        <w:spacing w:after="40"/>
      </w:pPr>
      <w:r>
        <w:t>LoRA configuration: rank r=8, alpha=16, dropout=0.05, targeting q_proj and v_proj.</w:t>
      </w:r>
    </w:p>
    <w:p>
      <w:pPr>
        <w:pStyle w:val="ListBullet"/>
        <w:spacing w:after="40"/>
      </w:pPr>
      <w:r>
        <w:t>The two Llama tokenizers are assumed to share compatible vocabulary indices; this should be checked explicitly before final submission.</w:t>
      </w:r>
    </w:p>
    <w:p>
      <w:pPr>
        <w:pStyle w:val="ListBullet"/>
        <w:spacing w:after="40"/>
      </w:pPr>
      <w:r>
        <w:t>No clinical labels are used. The objective is next-token prediction, not diagnosis or treatment recommendation.</w:t>
      </w:r>
    </w:p>
    <w:p>
      <w:pPr>
        <w:pStyle w:val="Heading2"/>
      </w:pPr>
      <w:r>
        <w:t>2.3 Offline distillation pipeline</w:t>
      </w:r>
    </w:p>
    <w:p>
      <w:pPr>
        <w:pStyle w:val="ListNumber"/>
        <w:spacing w:after="40"/>
      </w:pPr>
      <w:r>
        <w:t>Authenticate to Hugging Face and verify access to both gated models.</w:t>
      </w:r>
    </w:p>
    <w:p>
      <w:pPr>
        <w:pStyle w:val="ListNumber"/>
        <w:spacing w:after="40"/>
      </w:pPr>
      <w:r>
        <w:t>Run the teacher on each training text and save the 100 highest-logit tokens at every position to teacher_logits.pt.</w:t>
      </w:r>
    </w:p>
    <w:p>
      <w:pPr>
        <w:pStyle w:val="ListNumber"/>
        <w:spacing w:after="40"/>
      </w:pPr>
      <w:r>
        <w:t>Release the teacher from memory before loading the student.</w:t>
      </w:r>
    </w:p>
    <w:p>
      <w:pPr>
        <w:pStyle w:val="ListNumber"/>
        <w:spacing w:after="40"/>
      </w:pPr>
      <w:r>
        <w:t>Run the quantized student on the same training sequences and gather its logits at the cached teacher token indices.</w:t>
      </w:r>
    </w:p>
    <w:p>
      <w:pPr>
        <w:pStyle w:val="ListNumber"/>
        <w:spacing w:after="40"/>
      </w:pPr>
      <w:r>
        <w:t>Optimize a temperature-scaled KL divergence over the selected top-100 tokens using temperature T=2.0.</w:t>
      </w:r>
    </w:p>
    <w:p>
      <w:pPr>
        <w:pStyle w:val="ListNumber"/>
        <w:spacing w:after="40"/>
      </w:pPr>
      <w:r>
        <w:t>Save the resulting LoRA adapter and evaluate the adapted student on the held-out validation subset.</w:t>
      </w:r>
    </w:p>
    <w:p>
      <w:r>
        <w:t>Important methodological qualification: the implementation uses a top-100 approximation. Both distributions are normalized over the selected teacher tokens, so probability assigned to the remaining vocabulary is omitted. This is computationally practical, but it is not equivalent to full-vocabulary KL distillation.</w:t>
      </w:r>
    </w:p>
    <w:p>
      <w:pPr>
        <w:pStyle w:val="Heading2"/>
      </w:pPr>
      <w:r>
        <w:t>2.4 Training and evaluation setup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Setting</w:t>
            </w:r>
          </w:p>
        </w:tc>
        <w:tc>
          <w:tcPr>
            <w:tcW w:type="dxa" w:w="5040"/>
            <w:vAlign w:val="center"/>
            <w:shd w:fill="D9EAF7"/>
          </w:tcPr>
          <w:p>
            <w:r/>
            <w:r>
              <w:rPr>
                <w:b/>
                <w:sz w:val="18"/>
              </w:rPr>
              <w:t>Value</w:t>
            </w:r>
          </w:p>
        </w:tc>
      </w:tr>
      <w:tr>
        <w:tc>
          <w:tcPr>
            <w:tcW w:type="dxa" w:w="5040"/>
            <w:vAlign w:val="center"/>
          </w:tcPr>
          <w:p>
            <w:r/>
            <w:r>
              <w:rPr>
                <w:b w:val="0"/>
                <w:sz w:val="18"/>
              </w:rPr>
              <w:t>Optimizer</w:t>
            </w:r>
          </w:p>
        </w:tc>
        <w:tc>
          <w:tcPr>
            <w:tcW w:type="dxa" w:w="5040"/>
            <w:vAlign w:val="center"/>
          </w:tcPr>
          <w:p>
            <w:r/>
            <w:r>
              <w:rPr>
                <w:b w:val="0"/>
                <w:sz w:val="18"/>
              </w:rPr>
              <w:t>AdamW</w:t>
            </w:r>
          </w:p>
        </w:tc>
      </w:tr>
      <w:tr>
        <w:tc>
          <w:tcPr>
            <w:tcW w:type="dxa" w:w="5040"/>
            <w:vAlign w:val="center"/>
          </w:tcPr>
          <w:p>
            <w:r/>
            <w:r>
              <w:rPr>
                <w:b w:val="0"/>
                <w:sz w:val="18"/>
              </w:rPr>
              <w:t>Learning rate</w:t>
            </w:r>
          </w:p>
        </w:tc>
        <w:tc>
          <w:tcPr>
            <w:tcW w:type="dxa" w:w="5040"/>
            <w:vAlign w:val="center"/>
          </w:tcPr>
          <w:p>
            <w:r/>
            <w:r>
              <w:rPr>
                <w:b w:val="0"/>
                <w:sz w:val="18"/>
              </w:rPr>
              <w:t>2e-4</w:t>
            </w:r>
          </w:p>
        </w:tc>
      </w:tr>
      <w:tr>
        <w:tc>
          <w:tcPr>
            <w:tcW w:type="dxa" w:w="5040"/>
            <w:vAlign w:val="center"/>
          </w:tcPr>
          <w:p>
            <w:r/>
            <w:r>
              <w:rPr>
                <w:b w:val="0"/>
                <w:sz w:val="18"/>
              </w:rPr>
              <w:t>Distillation temperature</w:t>
            </w:r>
          </w:p>
        </w:tc>
        <w:tc>
          <w:tcPr>
            <w:tcW w:type="dxa" w:w="5040"/>
            <w:vAlign w:val="center"/>
          </w:tcPr>
          <w:p>
            <w:r/>
            <w:r>
              <w:rPr>
                <w:b w:val="0"/>
                <w:sz w:val="18"/>
              </w:rPr>
              <w:t>2.0</w:t>
            </w:r>
          </w:p>
        </w:tc>
      </w:tr>
      <w:tr>
        <w:tc>
          <w:tcPr>
            <w:tcW w:type="dxa" w:w="5040"/>
            <w:vAlign w:val="center"/>
          </w:tcPr>
          <w:p>
            <w:r/>
            <w:r>
              <w:rPr>
                <w:b w:val="0"/>
                <w:sz w:val="18"/>
              </w:rPr>
              <w:t>Training examples</w:t>
            </w:r>
          </w:p>
        </w:tc>
        <w:tc>
          <w:tcPr>
            <w:tcW w:type="dxa" w:w="5040"/>
            <w:vAlign w:val="center"/>
          </w:tcPr>
          <w:p>
            <w:r/>
            <w:r>
              <w:rPr>
                <w:b w:val="0"/>
                <w:sz w:val="18"/>
              </w:rPr>
              <w:t>100</w:t>
            </w:r>
          </w:p>
        </w:tc>
      </w:tr>
      <w:tr>
        <w:tc>
          <w:tcPr>
            <w:tcW w:type="dxa" w:w="5040"/>
            <w:vAlign w:val="center"/>
          </w:tcPr>
          <w:p>
            <w:r/>
            <w:r>
              <w:rPr>
                <w:b w:val="0"/>
                <w:sz w:val="18"/>
              </w:rPr>
              <w:t>Optimization schedule</w:t>
            </w:r>
          </w:p>
        </w:tc>
        <w:tc>
          <w:tcPr>
            <w:tcW w:type="dxa" w:w="5040"/>
            <w:vAlign w:val="center"/>
          </w:tcPr>
          <w:p>
            <w:r/>
            <w:r>
              <w:rPr>
                <w:b w:val="0"/>
                <w:sz w:val="18"/>
              </w:rPr>
              <w:t>One update per cached example; one pass</w:t>
            </w:r>
          </w:p>
        </w:tc>
      </w:tr>
      <w:tr>
        <w:tc>
          <w:tcPr>
            <w:tcW w:type="dxa" w:w="5040"/>
            <w:vAlign w:val="center"/>
          </w:tcPr>
          <w:p>
            <w:r/>
            <w:r>
              <w:rPr>
                <w:b w:val="0"/>
                <w:sz w:val="18"/>
              </w:rPr>
              <w:t>Evaluation metric</w:t>
            </w:r>
          </w:p>
        </w:tc>
        <w:tc>
          <w:tcPr>
            <w:tcW w:type="dxa" w:w="5040"/>
            <w:vAlign w:val="center"/>
          </w:tcPr>
          <w:p>
            <w:r/>
            <w:r>
              <w:rPr>
                <w:b w:val="0"/>
                <w:sz w:val="18"/>
              </w:rPr>
              <w:t>Mean causal-language-model loss and perplexity</w:t>
            </w:r>
          </w:p>
        </w:tc>
      </w:tr>
      <w:tr>
        <w:tc>
          <w:tcPr>
            <w:tcW w:type="dxa" w:w="5040"/>
            <w:vAlign w:val="center"/>
          </w:tcPr>
          <w:p>
            <w:r/>
            <w:r>
              <w:rPr>
                <w:b w:val="0"/>
                <w:sz w:val="18"/>
              </w:rPr>
              <w:t>Hardware</w:t>
            </w:r>
          </w:p>
        </w:tc>
        <w:tc>
          <w:tcPr>
            <w:tcW w:type="dxa" w:w="5040"/>
            <w:vAlign w:val="center"/>
          </w:tcPr>
          <w:p>
            <w:r/>
            <w:r>
              <w:rPr>
                <w:b w:val="0"/>
                <w:sz w:val="18"/>
              </w:rPr>
              <w:t>CUDA GPU; 4-bit quantization with automatic device mapping</w:t>
            </w:r>
          </w:p>
        </w:tc>
      </w:tr>
    </w:tbl>
    <w:p>
      <w:pPr>
        <w:pStyle w:val="Heading1"/>
      </w:pPr>
      <w:r>
        <w:t>3. Results</w:t>
      </w:r>
    </w:p>
    <w:p>
      <w:r>
        <w:t>The student notebook recorded a validation loss of 3.1154 and perplexity of 22.54 after distillation on validation[:50]. The current report draft also contains a base-student result of loss 3.2776 and perplexity 26.51. That baseline value must be reproduced from an explicit pre-distillation evaluation cell before it is treated as final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Model</w:t>
            </w:r>
          </w:p>
        </w:tc>
        <w:tc>
          <w:tcPr>
            <w:tcW w:type="dxa" w:w="2520"/>
            <w:vAlign w:val="center"/>
            <w:shd w:fill="D9EAF7"/>
          </w:tcPr>
          <w:p>
            <w:r/>
            <w:r>
              <w:rPr>
                <w:b/>
                <w:sz w:val="18"/>
              </w:rPr>
              <w:t>Strategy</w:t>
            </w:r>
          </w:p>
        </w:tc>
        <w:tc>
          <w:tcPr>
            <w:tcW w:type="dxa" w:w="2520"/>
            <w:vAlign w:val="center"/>
            <w:shd w:fill="D9EAF7"/>
          </w:tcPr>
          <w:p>
            <w:r/>
            <w:r>
              <w:rPr>
                <w:b/>
                <w:sz w:val="18"/>
              </w:rPr>
              <w:t>Validation loss</w:t>
            </w:r>
          </w:p>
        </w:tc>
        <w:tc>
          <w:tcPr>
            <w:tcW w:type="dxa" w:w="2520"/>
            <w:vAlign w:val="center"/>
            <w:shd w:fill="D9EAF7"/>
          </w:tcPr>
          <w:p>
            <w:r/>
            <w:r>
              <w:rPr>
                <w:b/>
                <w:sz w:val="18"/>
              </w:rPr>
              <w:t>Perplexity</w:t>
            </w:r>
          </w:p>
        </w:tc>
      </w:tr>
      <w:tr>
        <w:tc>
          <w:tcPr>
            <w:tcW w:type="dxa" w:w="2520"/>
            <w:vAlign w:val="center"/>
          </w:tcPr>
          <w:p>
            <w:r/>
            <w:r>
              <w:rPr>
                <w:b w:val="0"/>
                <w:sz w:val="18"/>
              </w:rPr>
              <w:t>Llama-3.2-1B</w:t>
            </w:r>
          </w:p>
        </w:tc>
        <w:tc>
          <w:tcPr>
            <w:tcW w:type="dxa" w:w="2520"/>
            <w:vAlign w:val="center"/>
          </w:tcPr>
          <w:p>
            <w:r/>
            <w:r>
              <w:rPr>
                <w:b w:val="0"/>
                <w:sz w:val="18"/>
              </w:rPr>
              <w:t>Base student; reported draft value</w:t>
            </w:r>
          </w:p>
        </w:tc>
        <w:tc>
          <w:tcPr>
            <w:tcW w:type="dxa" w:w="2520"/>
            <w:vAlign w:val="center"/>
          </w:tcPr>
          <w:p>
            <w:r/>
            <w:r>
              <w:rPr>
                <w:b w:val="0"/>
                <w:sz w:val="18"/>
              </w:rPr>
              <w:t>3.2776*</w:t>
            </w:r>
          </w:p>
        </w:tc>
        <w:tc>
          <w:tcPr>
            <w:tcW w:type="dxa" w:w="2520"/>
            <w:vAlign w:val="center"/>
          </w:tcPr>
          <w:p>
            <w:r/>
            <w:r>
              <w:rPr>
                <w:b w:val="0"/>
                <w:sz w:val="18"/>
              </w:rPr>
              <w:t>26.51*</w:t>
            </w:r>
          </w:p>
        </w:tc>
      </w:tr>
      <w:tr>
        <w:tc>
          <w:tcPr>
            <w:tcW w:type="dxa" w:w="2520"/>
            <w:vAlign w:val="center"/>
          </w:tcPr>
          <w:p>
            <w:r/>
            <w:r>
              <w:rPr>
                <w:b w:val="0"/>
                <w:sz w:val="18"/>
              </w:rPr>
              <w:t>Llama-3.2-1B</w:t>
            </w:r>
          </w:p>
        </w:tc>
        <w:tc>
          <w:tcPr>
            <w:tcW w:type="dxa" w:w="2520"/>
            <w:vAlign w:val="center"/>
          </w:tcPr>
          <w:p>
            <w:r/>
            <w:r>
              <w:rPr>
                <w:b w:val="0"/>
                <w:sz w:val="18"/>
              </w:rPr>
              <w:t>Top-100 distillation + LoRA</w:t>
            </w:r>
          </w:p>
        </w:tc>
        <w:tc>
          <w:tcPr>
            <w:tcW w:type="dxa" w:w="2520"/>
            <w:vAlign w:val="center"/>
          </w:tcPr>
          <w:p>
            <w:r/>
            <w:r>
              <w:rPr>
                <w:b w:val="0"/>
                <w:sz w:val="18"/>
              </w:rPr>
              <w:t>3.1154</w:t>
            </w:r>
          </w:p>
        </w:tc>
        <w:tc>
          <w:tcPr>
            <w:tcW w:type="dxa" w:w="2520"/>
            <w:vAlign w:val="center"/>
          </w:tcPr>
          <w:p>
            <w:r/>
            <w:r>
              <w:rPr>
                <w:b w:val="0"/>
                <w:sz w:val="18"/>
              </w:rPr>
              <w:t>22.54</w:t>
            </w:r>
          </w:p>
        </w:tc>
      </w:tr>
      <w:tr>
        <w:tc>
          <w:tcPr>
            <w:tcW w:type="dxa" w:w="2520"/>
            <w:vAlign w:val="center"/>
          </w:tcPr>
          <w:p>
            <w:r/>
            <w:r>
              <w:rPr>
                <w:b w:val="0"/>
                <w:sz w:val="18"/>
              </w:rPr>
              <w:t>Llama-3.1-8B</w:t>
            </w:r>
          </w:p>
        </w:tc>
        <w:tc>
          <w:tcPr>
            <w:tcW w:type="dxa" w:w="2520"/>
            <w:vAlign w:val="center"/>
          </w:tcPr>
          <w:p>
            <w:r/>
            <w:r>
              <w:rPr>
                <w:b w:val="0"/>
                <w:sz w:val="18"/>
              </w:rPr>
              <w:t>Teacher reference</w:t>
            </w:r>
          </w:p>
        </w:tc>
        <w:tc>
          <w:tcPr>
            <w:tcW w:type="dxa" w:w="2520"/>
            <w:vAlign w:val="center"/>
          </w:tcPr>
          <w:p>
            <w:r/>
            <w:r>
              <w:rPr>
                <w:b w:val="0"/>
                <w:sz w:val="18"/>
              </w:rPr>
              <w:t>Not recorded</w:t>
            </w:r>
          </w:p>
        </w:tc>
        <w:tc>
          <w:tcPr>
            <w:tcW w:type="dxa" w:w="2520"/>
            <w:vAlign w:val="center"/>
          </w:tcPr>
          <w:p>
            <w:r/>
            <w:r>
              <w:rPr>
                <w:b w:val="0"/>
                <w:sz w:val="18"/>
              </w:rPr>
              <w:t>Not recorded</w:t>
            </w:r>
          </w:p>
        </w:tc>
      </w:tr>
    </w:tbl>
    <w:p>
      <w:r>
        <w:t>* The baseline numbers are retained from the original report draft but are not visible in the supplied notebook outputs. They should be rerun with the exact same validation code used for the distilled student.</w:t>
      </w:r>
    </w:p>
    <w:p>
      <w:pPr>
        <w:pStyle w:val="Heading1"/>
      </w:pPr>
      <w:r>
        <w:t>4. Discussion</w:t>
      </w:r>
    </w:p>
    <w:p>
      <w:pPr>
        <w:pStyle w:val="Heading2"/>
      </w:pPr>
      <w:r>
        <w:t>4.1 Interpretation</w:t>
      </w:r>
    </w:p>
    <w:p>
      <w:r>
        <w:t>Using the reported values, the distilled student improves validation loss and perplexity relative to the reported unadapted-student baseline. This is consistent with useful domain adaptation, but the evidence is limited because the experiment uses only 100 training examples, one optimization pass, and 50 validation documents. The result should therefore be described as preliminary.</w:t>
      </w:r>
    </w:p>
    <w:p>
      <w:pPr>
        <w:pStyle w:val="Heading2"/>
      </w:pPr>
      <w:r>
        <w:t>4.2 What worked</w:t>
      </w:r>
    </w:p>
    <w:p>
      <w:pPr>
        <w:pStyle w:val="ListBullet"/>
        <w:spacing w:after="40"/>
      </w:pPr>
      <w:r>
        <w:t>Offline teacher inference avoids keeping the 8B teacher and trainable student in memory simultaneously.</w:t>
      </w:r>
    </w:p>
    <w:p>
      <w:pPr>
        <w:pStyle w:val="ListBullet"/>
        <w:spacing w:after="40"/>
      </w:pPr>
      <w:r>
        <w:t>4-bit quantization and LoRA make the experiment feasible on constrained hardware.</w:t>
      </w:r>
    </w:p>
    <w:p>
      <w:pPr>
        <w:pStyle w:val="ListBullet"/>
        <w:spacing w:after="40"/>
      </w:pPr>
      <w:r>
        <w:t>The training and validation splits are separated in the current notebooks.</w:t>
      </w:r>
    </w:p>
    <w:p>
      <w:pPr>
        <w:pStyle w:val="ListBullet"/>
        <w:spacing w:after="40"/>
      </w:pPr>
      <w:r>
        <w:t>The student validation output is preserved in the notebook for reproducibility of the recorded run.</w:t>
      </w:r>
    </w:p>
    <w:p>
      <w:pPr>
        <w:pStyle w:val="Heading2"/>
      </w:pPr>
      <w:r>
        <w:t>4.3 Limitations and unexpected behavior</w:t>
      </w:r>
    </w:p>
    <w:p>
      <w:pPr>
        <w:pStyle w:val="ListBullet"/>
        <w:spacing w:after="40"/>
      </w:pPr>
      <w:r>
        <w:t>The top-100 objective omits the teacher's tail probability and renormalizes over only the selected tokens.</w:t>
      </w:r>
    </w:p>
    <w:p>
      <w:pPr>
        <w:pStyle w:val="ListBullet"/>
        <w:spacing w:after="40"/>
      </w:pPr>
      <w:r>
        <w:t>The distillation loss fluctuates substantially across the 100 updates, suggesting that the training schedule is too short to support strong conclusions.</w:t>
      </w:r>
    </w:p>
    <w:p>
      <w:pPr>
        <w:pStyle w:val="ListBullet"/>
        <w:spacing w:after="40"/>
      </w:pPr>
      <w:r>
        <w:t>No random seed, repeated run, confidence interval, or ablation is currently provided.</w:t>
      </w:r>
    </w:p>
    <w:p>
      <w:pPr>
        <w:pStyle w:val="ListBullet"/>
        <w:spacing w:after="40"/>
      </w:pPr>
      <w:r>
        <w:t>The teacher validation result is not recorded in the notebook output, so teacher-versus-student claims cannot yet be verified.</w:t>
      </w:r>
    </w:p>
    <w:p>
      <w:pPr>
        <w:pStyle w:val="ListBullet"/>
        <w:spacing w:after="40"/>
      </w:pPr>
      <w:r>
        <w:t>The qualitative generation example is illustrative only; it is not a clinical accuracy or safety evaluation.</w:t>
      </w:r>
    </w:p>
    <w:p>
      <w:pPr>
        <w:pStyle w:val="Heading1"/>
      </w:pPr>
      <w:r>
        <w:t>5. Improvements for a stronger experiment</w:t>
      </w:r>
    </w:p>
    <w:p>
      <w:pPr>
        <w:pStyle w:val="ListNumber"/>
        <w:spacing w:after="40"/>
      </w:pPr>
      <w:r>
        <w:t>Add an explicit baseline cell that evaluates the untouched 1B student on validation[:50] before loading the adapter.</w:t>
      </w:r>
    </w:p>
    <w:p>
      <w:pPr>
        <w:pStyle w:val="ListNumber"/>
        <w:spacing w:after="40"/>
      </w:pPr>
      <w:r>
        <w:t>Record the teacher validation loss and perplexity using the same evaluation function.</w:t>
      </w:r>
    </w:p>
    <w:p>
      <w:pPr>
        <w:pStyle w:val="ListNumber"/>
        <w:spacing w:after="40"/>
      </w:pPr>
      <w:r>
        <w:t>Set and report random seeds, run at least three seeds or repeated trials, and report mean plus standard deviation.</w:t>
      </w:r>
    </w:p>
    <w:p>
      <w:pPr>
        <w:pStyle w:val="ListNumber"/>
        <w:spacing w:after="40"/>
      </w:pPr>
      <w:r>
        <w:t>Train for several epochs with a validation check after each epoch, while keeping the validation set fixed.</w:t>
      </w:r>
    </w:p>
    <w:p>
      <w:pPr>
        <w:pStyle w:val="ListNumber"/>
        <w:spacing w:after="40"/>
      </w:pPr>
      <w:r>
        <w:t>Add a no-distillation LoRA baseline so the effect of distillation is separated from the effect of parameter-efficient fine-tuning.</w:t>
      </w:r>
    </w:p>
    <w:p>
      <w:pPr>
        <w:pStyle w:val="ListNumber"/>
        <w:spacing w:after="40"/>
      </w:pPr>
      <w:r>
        <w:t>Either store enough information for a full-vocabulary distillation objective or clearly justify the top-k approximation and measure its effect with a top-k ablation.</w:t>
      </w:r>
    </w:p>
    <w:p>
      <w:pPr>
        <w:pStyle w:val="ListNumber"/>
        <w:spacing w:after="40"/>
      </w:pPr>
      <w:r>
        <w:t>Use the model input-embedding device instead of hard-coding .to("cuda") when device_map="auto" is used.</w:t>
      </w:r>
    </w:p>
    <w:p>
      <w:pPr>
        <w:pStyle w:val="Heading1"/>
      </w:pPr>
      <w:r>
        <w:t>6. Reproducibility and responsible use</w:t>
      </w:r>
    </w:p>
    <w:p>
      <w:r>
        <w:t>The experiment requires a CUDA-enabled PyTorch environment, the packages in requirements.txt, and authorized access to both gated Llama models. The Hugging Face token is entered interactively and must never be committed. Generated model weights and teacher cache files are kept outside version control.</w:t>
      </w:r>
    </w:p>
    <w:p>
      <w:r>
        <w:t>This project is an educational language-modeling experiment. It is not a medical device or clinical decision-support system. The model can generate incorrect, biased, unsafe, or fabricated medical content and must not be used for diagnosis or treatment decisions.</w:t>
      </w:r>
    </w:p>
    <w:p>
      <w:pPr>
        <w:pStyle w:val="Heading1"/>
      </w:pPr>
      <w:r>
        <w:t>7. Conclusion</w:t>
      </w:r>
    </w:p>
    <w:p>
      <w:r>
        <w:t>The project demonstrates a feasible offline distillation workflow from an 8B medical-domain teacher to a 1B LoRA-adapted student. The recorded student result is promising relative to the baseline value reported in the draft, but the comparison is preliminary. A final conclusion should be made only after rerunning the baseline and teacher evaluations, documenting the top-k approximation, and adding reproducibility checks and at least one controlled ablation.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