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C81BF" w14:textId="77777777" w:rsidR="00187A61" w:rsidRDefault="00187A61" w:rsidP="00187A61">
      <w:r>
        <w:t>Partie 2 : Observations et Applications Pratiques</w:t>
      </w:r>
    </w:p>
    <w:p w14:paraId="722A4BE2" w14:textId="77777777" w:rsidR="00187A61" w:rsidRDefault="00187A61" w:rsidP="00187A61">
      <w:r>
        <w:t>Introduction</w:t>
      </w:r>
    </w:p>
    <w:p w14:paraId="5BAE1296" w14:textId="77777777" w:rsidR="00187A61" w:rsidRDefault="00187A61" w:rsidP="00187A61">
      <w:r>
        <w:t xml:space="preserve">Dans cette deuxième partie de la thèse, nous allons démontrer comment les fondements théoriques décrits dans la Partie 1 ont trouvé des applications concrètes lors des conférences auxquelles j'ai assisté au salon </w:t>
      </w:r>
      <w:proofErr w:type="spellStart"/>
      <w:r>
        <w:t>VivaTech</w:t>
      </w:r>
      <w:proofErr w:type="spellEnd"/>
      <w:r>
        <w:t xml:space="preserve"> 2024 à la Porte de Versailles. Ces conférences ont mis en lumière les avancées significatives dans le domaine de l'intelligence artificielle (IA), plus particulièrement dans le mariage entre le </w:t>
      </w:r>
      <w:proofErr w:type="spellStart"/>
      <w:r>
        <w:t>deep</w:t>
      </w:r>
      <w:proofErr w:type="spellEnd"/>
      <w:r>
        <w:t xml:space="preserve"> </w:t>
      </w:r>
      <w:proofErr w:type="spellStart"/>
      <w:r>
        <w:t>learning</w:t>
      </w:r>
      <w:proofErr w:type="spellEnd"/>
      <w:r>
        <w:t xml:space="preserve"> et les réseaux neuronaux quantiques (QNN).</w:t>
      </w:r>
    </w:p>
    <w:p w14:paraId="400BFD80" w14:textId="77777777" w:rsidR="00187A61" w:rsidRDefault="00187A61" w:rsidP="00187A61"/>
    <w:p w14:paraId="2708FEC1" w14:textId="77777777" w:rsidR="00187A61" w:rsidRDefault="00187A61" w:rsidP="00187A61">
      <w:r>
        <w:t xml:space="preserve">Observations lors des Conférences à </w:t>
      </w:r>
      <w:proofErr w:type="spellStart"/>
      <w:r>
        <w:t>VivaTech</w:t>
      </w:r>
      <w:proofErr w:type="spellEnd"/>
      <w:r>
        <w:t xml:space="preserve"> 2024</w:t>
      </w:r>
    </w:p>
    <w:p w14:paraId="1F21F121" w14:textId="77777777" w:rsidR="00187A61" w:rsidRDefault="00187A61" w:rsidP="00187A61">
      <w:proofErr w:type="spellStart"/>
      <w:r>
        <w:t>VivaTech</w:t>
      </w:r>
      <w:proofErr w:type="spellEnd"/>
      <w:r>
        <w:t xml:space="preserve"> 2024 a été un rendez-vous incontournable pour les experts et les passionnés d'IA. Deux conférences, en particulier, ont illustré de manière exemplaire les applications des concepts théoriques étudiés dans cette thèse : la première portait sur les avancées en </w:t>
      </w:r>
      <w:proofErr w:type="spellStart"/>
      <w:r>
        <w:t>deep</w:t>
      </w:r>
      <w:proofErr w:type="spellEnd"/>
      <w:r>
        <w:t xml:space="preserve"> </w:t>
      </w:r>
      <w:proofErr w:type="spellStart"/>
      <w:r>
        <w:t>learning</w:t>
      </w:r>
      <w:proofErr w:type="spellEnd"/>
      <w:r>
        <w:t xml:space="preserve"> appliqué à la reconnaissance de motifs complexes, et la seconde sur les innovations récentes en réseaux neuronaux quantiques.</w:t>
      </w:r>
    </w:p>
    <w:p w14:paraId="742C4F9C" w14:textId="77777777" w:rsidR="00187A61" w:rsidRDefault="00187A61" w:rsidP="00187A61"/>
    <w:p w14:paraId="62F6FE98" w14:textId="77777777" w:rsidR="00187A61" w:rsidRDefault="00187A61" w:rsidP="00187A61">
      <w:r>
        <w:t>Conférence 1 : Avancées en Deep Learning</w:t>
      </w:r>
    </w:p>
    <w:p w14:paraId="3891EEDA" w14:textId="77777777" w:rsidR="00187A61" w:rsidRDefault="00187A61" w:rsidP="00187A61">
      <w:r>
        <w:t xml:space="preserve">La première conférence à laquelle j'ai assisté était présentée par Yann </w:t>
      </w:r>
      <w:proofErr w:type="spellStart"/>
      <w:r>
        <w:t>LeCun</w:t>
      </w:r>
      <w:proofErr w:type="spellEnd"/>
      <w:r>
        <w:t xml:space="preserve">, un pionnier en intelligence artificielle et en apprentissage profond, et actuellement Chief AI </w:t>
      </w:r>
      <w:proofErr w:type="spellStart"/>
      <w:r>
        <w:t>Scientist</w:t>
      </w:r>
      <w:proofErr w:type="spellEnd"/>
      <w:r>
        <w:t xml:space="preserve"> chez Meta. Il a exposé les dernières avancées dans la reconnaissance de motifs complexes grâce aux réseaux de neurones profonds (DNN). Les points saillants de sa présentation étaient :</w:t>
      </w:r>
    </w:p>
    <w:p w14:paraId="5184EEAC" w14:textId="77777777" w:rsidR="00187A61" w:rsidRDefault="00187A61" w:rsidP="00187A61"/>
    <w:p w14:paraId="73C50F47" w14:textId="77777777" w:rsidR="00187A61" w:rsidRDefault="00187A61" w:rsidP="00187A61">
      <w:r>
        <w:t xml:space="preserve">Nouvelles Architectures de DNN : Yann </w:t>
      </w:r>
      <w:proofErr w:type="spellStart"/>
      <w:r>
        <w:t>LeCun</w:t>
      </w:r>
      <w:proofErr w:type="spellEnd"/>
      <w:r>
        <w:t xml:space="preserve"> a présenté des architectures de réseaux de neurones optimisées pour la reconnaissance de motifs dans des images et des vidéos. Ces architectures intègrent des couches convolutives avancées et des mécanismes d'attention qui permettent de capturer des détails subtils et des relations spatiales complexes.</w:t>
      </w:r>
    </w:p>
    <w:p w14:paraId="69E80BFB" w14:textId="77777777" w:rsidR="00187A61" w:rsidRDefault="00187A61" w:rsidP="00187A61"/>
    <w:p w14:paraId="06207953" w14:textId="77777777" w:rsidR="00187A61" w:rsidRDefault="00187A61" w:rsidP="00187A61">
      <w:r>
        <w:t>Optimisation et Régularisation : Il a expliqué comment des techniques d'optimisation telles que l'Adam et la régularisation par dropout sont cruciales pour améliorer la performance et la généralisation des modèles. Ces techniques permettent de minimiser les risques de surapprentissage et de converger plus rapidement vers des solutions optimales.</w:t>
      </w:r>
    </w:p>
    <w:p w14:paraId="26DB102A" w14:textId="77777777" w:rsidR="00187A61" w:rsidRDefault="00187A61" w:rsidP="00187A61"/>
    <w:p w14:paraId="3D07D8C6" w14:textId="77777777" w:rsidR="00187A61" w:rsidRDefault="00187A61" w:rsidP="00187A61">
      <w:r>
        <w:t>Applications Pratiques : Des applications concrètes ont été démontrées, notamment dans le domaine médical pour la détection précoce de maladies à partir d'images médicales, et dans la sécurité pour la reconnaissance faciale en temps réel.</w:t>
      </w:r>
    </w:p>
    <w:p w14:paraId="711402A3" w14:textId="77777777" w:rsidR="00187A61" w:rsidRDefault="00187A61" w:rsidP="00187A61"/>
    <w:p w14:paraId="27B617D5" w14:textId="77777777" w:rsidR="00187A61" w:rsidRDefault="00187A61" w:rsidP="00187A61">
      <w:r>
        <w:t>Cette conférence a clairement illustré comment les modèles mathématiques et les méthodes d'optimisation discutés dans la Partie 1 de cette thèse sont utilisés dans des applications réelles, démontrant leur efficacité et leur pertinence.</w:t>
      </w:r>
    </w:p>
    <w:p w14:paraId="0FBD2085" w14:textId="77777777" w:rsidR="00187A61" w:rsidRDefault="00187A61" w:rsidP="00187A61"/>
    <w:p w14:paraId="6595557F" w14:textId="77777777" w:rsidR="00187A61" w:rsidRDefault="00187A61" w:rsidP="00187A61">
      <w:r>
        <w:lastRenderedPageBreak/>
        <w:t>Conférence 2 : Innovations en Réseaux Neuronaux Quantiques</w:t>
      </w:r>
    </w:p>
    <w:p w14:paraId="2CFDD868" w14:textId="77777777" w:rsidR="00187A61" w:rsidRDefault="00187A61" w:rsidP="00187A61">
      <w:r>
        <w:t xml:space="preserve">La deuxième conférence, animée par </w:t>
      </w:r>
      <w:proofErr w:type="spellStart"/>
      <w:r>
        <w:t>Yoshua</w:t>
      </w:r>
      <w:proofErr w:type="spellEnd"/>
      <w:r>
        <w:t xml:space="preserve"> Bengio, l'un des principaux chercheurs en apprentissage profond et fondateur de Mila (Institut québécois d'intelligence artificielle), était consacrée aux réseaux neuronaux quantiques. Cette présentation a été particulièrement révélatrice des immenses potentialités du mariage entre </w:t>
      </w:r>
      <w:proofErr w:type="spellStart"/>
      <w:r>
        <w:t>deep</w:t>
      </w:r>
      <w:proofErr w:type="spellEnd"/>
      <w:r>
        <w:t xml:space="preserve"> </w:t>
      </w:r>
      <w:proofErr w:type="spellStart"/>
      <w:r>
        <w:t>learning</w:t>
      </w:r>
      <w:proofErr w:type="spellEnd"/>
      <w:r>
        <w:t xml:space="preserve"> et informatique quantique. Les principaux points abordés étaient :</w:t>
      </w:r>
    </w:p>
    <w:p w14:paraId="2163DD82" w14:textId="77777777" w:rsidR="00187A61" w:rsidRDefault="00187A61" w:rsidP="00187A61"/>
    <w:p w14:paraId="0F3581E5" w14:textId="77777777" w:rsidR="00187A61" w:rsidRDefault="00187A61" w:rsidP="00187A61">
      <w:r>
        <w:t xml:space="preserve">Architecture des QNN : </w:t>
      </w:r>
      <w:proofErr w:type="spellStart"/>
      <w:r>
        <w:t>Yoshua</w:t>
      </w:r>
      <w:proofErr w:type="spellEnd"/>
      <w:r>
        <w:t xml:space="preserve"> Bengio a détaillé comment les qubits et les portes quantiques sont intégrés dans les réseaux neuronaux pour créer des modèles hybrides. Ces modèles exploitent les propriétés de superposition et d'intrication des qubits pour effectuer des calculs parallèles massifs, augmentant ainsi l'efficacité du traitement.</w:t>
      </w:r>
    </w:p>
    <w:p w14:paraId="12C4F47A" w14:textId="77777777" w:rsidR="00187A61" w:rsidRDefault="00187A61" w:rsidP="00187A61"/>
    <w:p w14:paraId="28E3AE55" w14:textId="77777777" w:rsidR="00187A61" w:rsidRDefault="00187A61" w:rsidP="00187A61">
      <w:r>
        <w:t>Algorithmes de Descente de Gradient Quantique : Il a expliqué comment les algorithmes de descente de gradient quantique permettent d'optimiser les paramètres des modèles de manière plus rapide et plus efficace que les méthodes classiques. Ces algorithmes exploitent les capacités des qubits à représenter simultanément plusieurs états, réduisant ainsi considérablement le temps d'entraînement.</w:t>
      </w:r>
    </w:p>
    <w:p w14:paraId="41A3CDB1" w14:textId="77777777" w:rsidR="00187A61" w:rsidRDefault="00187A61" w:rsidP="00187A61"/>
    <w:p w14:paraId="4416DED6" w14:textId="77777777" w:rsidR="00187A61" w:rsidRDefault="00187A61" w:rsidP="00187A61">
      <w:r>
        <w:t xml:space="preserve">Applications et Études de Cas : </w:t>
      </w:r>
      <w:proofErr w:type="spellStart"/>
      <w:r>
        <w:t>Yoshua</w:t>
      </w:r>
      <w:proofErr w:type="spellEnd"/>
      <w:r>
        <w:t xml:space="preserve"> Bengio a présenté plusieurs études de cas, notamment dans la simulation de systèmes moléculaires pour la recherche en chimie et la résolution de problèmes d'optimisation complexe. Ces exemples ont montré comment les QNN surpassent les approches classiques en termes de vitesse et de précision.</w:t>
      </w:r>
    </w:p>
    <w:p w14:paraId="3C6F81EC" w14:textId="77777777" w:rsidR="00187A61" w:rsidRDefault="00187A61" w:rsidP="00187A61"/>
    <w:p w14:paraId="1CD80DD5" w14:textId="77777777" w:rsidR="00187A61" w:rsidRDefault="00187A61" w:rsidP="00187A61">
      <w:r>
        <w:t>Mesures des Implications Potentielles</w:t>
      </w:r>
    </w:p>
    <w:p w14:paraId="279768B7" w14:textId="77777777" w:rsidR="00187A61" w:rsidRDefault="00187A61" w:rsidP="00187A61">
      <w:r>
        <w:t xml:space="preserve">Les deux conférences ont mis en évidence les énormes implications potentielles des avancées en </w:t>
      </w:r>
      <w:proofErr w:type="spellStart"/>
      <w:r>
        <w:t>deep</w:t>
      </w:r>
      <w:proofErr w:type="spellEnd"/>
      <w:r>
        <w:t xml:space="preserve"> </w:t>
      </w:r>
      <w:proofErr w:type="spellStart"/>
      <w:r>
        <w:t>learning</w:t>
      </w:r>
      <w:proofErr w:type="spellEnd"/>
      <w:r>
        <w:t xml:space="preserve"> et en réseaux neuronaux quantiques :</w:t>
      </w:r>
    </w:p>
    <w:p w14:paraId="76990121" w14:textId="77777777" w:rsidR="00187A61" w:rsidRDefault="00187A61" w:rsidP="00187A61"/>
    <w:p w14:paraId="66CD4838" w14:textId="77777777" w:rsidR="00187A61" w:rsidRDefault="00187A61" w:rsidP="00187A61">
      <w:r>
        <w:t>Accélération des Calculs : Les QNN permettent d'accélérer de manière significative les calculs, notamment pour des tâches nécessitant l'exploration de vastes espaces de solutions. Cela ouvre de nouvelles perspectives pour des applications en temps réel et des calculs intensifs.</w:t>
      </w:r>
    </w:p>
    <w:p w14:paraId="6C5888A6" w14:textId="77777777" w:rsidR="00187A61" w:rsidRDefault="00187A61" w:rsidP="00187A61"/>
    <w:p w14:paraId="1B7F2F42" w14:textId="77777777" w:rsidR="00187A61" w:rsidRDefault="00187A61" w:rsidP="00187A61">
      <w:r>
        <w:t>Amélioration de la Généralisation : L'intégration de l'informatique quantique dans les réseaux neuronaux aide à améliorer la capacité de généralisation des modèles, rendant ces derniers plus robustes et efficaces face à des données complexes et variées.</w:t>
      </w:r>
    </w:p>
    <w:p w14:paraId="7944C0A1" w14:textId="77777777" w:rsidR="00187A61" w:rsidRDefault="00187A61" w:rsidP="00187A61"/>
    <w:p w14:paraId="5D9ECF88" w14:textId="77777777" w:rsidR="00187A61" w:rsidRDefault="00187A61" w:rsidP="00187A61">
      <w:r>
        <w:t>Applications Diversifiées : Les applications des DNN et des QNN sont vastes, allant de la médecine à la finance, en passant par la sécurité et l'industrie. Ces technologies permettent de résoudre des problèmes complexes plus rapidement et plus efficacement, révolutionnant ainsi de nombreux secteurs.</w:t>
      </w:r>
    </w:p>
    <w:p w14:paraId="308C75BD" w14:textId="77777777" w:rsidR="00187A61" w:rsidRDefault="00187A61" w:rsidP="00187A61"/>
    <w:p w14:paraId="178DABA1" w14:textId="77777777" w:rsidR="00187A61" w:rsidRDefault="00187A61" w:rsidP="00187A61">
      <w:r>
        <w:t>Conclusion</w:t>
      </w:r>
    </w:p>
    <w:p w14:paraId="4E8C66EE" w14:textId="30FDFC68" w:rsidR="00402453" w:rsidRDefault="00187A61" w:rsidP="00187A61">
      <w:r>
        <w:t xml:space="preserve">Les conférences auxquelles j'ai assisté à </w:t>
      </w:r>
      <w:proofErr w:type="spellStart"/>
      <w:r>
        <w:t>VivaTech</w:t>
      </w:r>
      <w:proofErr w:type="spellEnd"/>
      <w:r>
        <w:t xml:space="preserve"> 2024 ont confirmé que les fondements théoriques du </w:t>
      </w:r>
      <w:proofErr w:type="spellStart"/>
      <w:r>
        <w:t>deep</w:t>
      </w:r>
      <w:proofErr w:type="spellEnd"/>
      <w:r>
        <w:t xml:space="preserve"> </w:t>
      </w:r>
      <w:proofErr w:type="spellStart"/>
      <w:r>
        <w:t>learning</w:t>
      </w:r>
      <w:proofErr w:type="spellEnd"/>
      <w:r>
        <w:t xml:space="preserve"> et des réseaux neuronaux quantiques sont non seulement solides, mais aussi d'une pertinence et d'une efficacité remarquables dans des applications pratiques. Le potentiel de ces technologies est immense, promettant des avancées significatives dans de nombreux domaines. Cette observation directe renforce la validité et l'importance des recherches présentées dans cette thèse​</w:t>
      </w:r>
    </w:p>
    <w:p w14:paraId="0DE5A3B7" w14:textId="77777777" w:rsidR="00FE0421" w:rsidRDefault="00FE0421" w:rsidP="00FE0421">
      <w:r>
        <w:t>Partie 2 bis : Impacts Sociétaux de l'IA Quantique et Régulation Efficace</w:t>
      </w:r>
    </w:p>
    <w:p w14:paraId="3DC660EC" w14:textId="77777777" w:rsidR="00FE0421" w:rsidRDefault="00FE0421" w:rsidP="00FE0421">
      <w:r>
        <w:t>Introduction</w:t>
      </w:r>
    </w:p>
    <w:p w14:paraId="7E811579" w14:textId="77777777" w:rsidR="00FE0421" w:rsidRDefault="00FE0421" w:rsidP="00FE0421">
      <w:r>
        <w:t>L'IA quantique représente une avancée technologique majeure qui pourrait transformer profondément notre société. Si la généralisation de cette technologie offre d'énormes opportunités, elle pose également des défis significatifs en termes de partage des richesses et de viabilité sociale. Alors que la mécanisation traditionnelle augmentait la productivité des travailleurs, l'IA quantique a le potentiel de remplacer complètement le travail humain dans de nombreux domaines. Cette partie examine les impacts sociétaux potentiels de l'IA quantique et propose des pistes pour une régulation efficace afin d'assurer une utilité sociale de cette technologie.</w:t>
      </w:r>
    </w:p>
    <w:p w14:paraId="3921B7B2" w14:textId="77777777" w:rsidR="00FE0421" w:rsidRDefault="00FE0421" w:rsidP="00FE0421"/>
    <w:p w14:paraId="5D910180" w14:textId="77777777" w:rsidR="00FE0421" w:rsidRDefault="00FE0421" w:rsidP="00FE0421">
      <w:r>
        <w:t>Impacts Sociétaux de l'IA Quantique</w:t>
      </w:r>
    </w:p>
    <w:p w14:paraId="1EF3838A" w14:textId="77777777" w:rsidR="00FE0421" w:rsidRDefault="00FE0421" w:rsidP="00FE0421">
      <w:r>
        <w:t>Remplacement du Travail Humain</w:t>
      </w:r>
    </w:p>
    <w:p w14:paraId="7F09F828" w14:textId="77777777" w:rsidR="00FE0421" w:rsidRDefault="00FE0421" w:rsidP="00FE0421">
      <w:r>
        <w:t>Avec la généralisation de l'IA quantique, une grande partie du travail humain pourrait être remplacée par des machines capables d'effectuer des tâches complexes avec une efficacité inégalée. Contrairement aux précédentes vagues de mécanisation, où les robots augmentaient la productivité des travailleurs sans les remplacer complètement, l'IA quantique pourrait conduire à une automatisation totale de nombreuses fonctions. Cela soulève des questions cruciales sur l'avenir du travail et le rôle des humains dans une société dominée par des machines intelligentes.</w:t>
      </w:r>
    </w:p>
    <w:p w14:paraId="3C820B1F" w14:textId="77777777" w:rsidR="00FE0421" w:rsidRDefault="00FE0421" w:rsidP="00FE0421"/>
    <w:p w14:paraId="63F17003" w14:textId="77777777" w:rsidR="00FE0421" w:rsidRDefault="00FE0421" w:rsidP="00FE0421">
      <w:r>
        <w:t>Redistribution des Richesses</w:t>
      </w:r>
    </w:p>
    <w:p w14:paraId="4063156E" w14:textId="77777777" w:rsidR="00FE0421" w:rsidRDefault="00FE0421" w:rsidP="00FE0421">
      <w:r>
        <w:t>Le remplacement massif du travail humain par des machines pourrait accentuer les inégalités économiques si les bénéfices de cette technologie restent concentrés entre les mains de quelques entreprises ou individus. Historiquement, les gains de productivité ont souvent conduit à une concentration accrue de la richesse, mais l'ampleur du changement apporté par l'IA quantique pourrait exacerber ce problème de manière significative.</w:t>
      </w:r>
    </w:p>
    <w:p w14:paraId="3439FDD8" w14:textId="77777777" w:rsidR="00FE0421" w:rsidRDefault="00FE0421" w:rsidP="00FE0421"/>
    <w:p w14:paraId="2FCC1BFD" w14:textId="77777777" w:rsidR="00FE0421" w:rsidRDefault="00FE0421" w:rsidP="00FE0421">
      <w:r>
        <w:t>Pour éviter une telle situation, il est essentiel de mettre en place des mécanismes de redistribution des richesses. Cela pourrait inclure des politiques fiscales plus progressives, des revenus de base universels, et des investissements dans l'éducation et la formation pour aider les travailleurs à s'adapter à un nouveau marché du travail.</w:t>
      </w:r>
    </w:p>
    <w:p w14:paraId="445A8E8E" w14:textId="77777777" w:rsidR="00FE0421" w:rsidRDefault="00FE0421" w:rsidP="00FE0421"/>
    <w:p w14:paraId="611BA8AA" w14:textId="77777777" w:rsidR="00FE0421" w:rsidRDefault="00FE0421" w:rsidP="00FE0421">
      <w:r>
        <w:lastRenderedPageBreak/>
        <w:t>Viabilité Sociale</w:t>
      </w:r>
    </w:p>
    <w:p w14:paraId="7D225BBE" w14:textId="77777777" w:rsidR="00FE0421" w:rsidRDefault="00FE0421" w:rsidP="00FE0421">
      <w:r>
        <w:t>La viabilité sociale dans une société où le travail humain est largement remplacé par des machines dépendra de notre capacité à redéfinir le rôle du travail et à garantir que tous les membres de la société puissent bénéficier des avancées technologiques. Une société viable devra trouver des moyens de donner un sens et une valeur à la vie humaine au-delà du travail rémunéré.</w:t>
      </w:r>
    </w:p>
    <w:p w14:paraId="2A268DFF" w14:textId="77777777" w:rsidR="00FE0421" w:rsidRDefault="00FE0421" w:rsidP="00FE0421"/>
    <w:p w14:paraId="242240C9" w14:textId="77777777" w:rsidR="00FE0421" w:rsidRDefault="00FE0421" w:rsidP="00FE0421">
      <w:r>
        <w:t>Vers une Régulation Efficace de l'IA Quantique</w:t>
      </w:r>
    </w:p>
    <w:p w14:paraId="511C2DFE" w14:textId="77777777" w:rsidR="00FE0421" w:rsidRDefault="00FE0421" w:rsidP="00FE0421">
      <w:r>
        <w:t>Utilité Sociale</w:t>
      </w:r>
    </w:p>
    <w:p w14:paraId="411D5459" w14:textId="77777777" w:rsidR="00FE0421" w:rsidRDefault="00FE0421" w:rsidP="00FE0421">
      <w:r>
        <w:t>Pour que l'IA quantique ait une utilité sociale et ne profite pas uniquement à des intérêts particuliers, une régulation efficace est nécessaire. Cette régulation doit s'assurer que les technologies de l'IA sont développées et utilisées de manière éthique, transparente et équitable. Les régulateurs devront travailler en étroite collaboration avec les développeurs de technologies, les entreprises, et la société civile pour créer des cadres qui encouragent l'innovation tout en protégeant les droits et les intérêts du public.</w:t>
      </w:r>
    </w:p>
    <w:p w14:paraId="1D39A377" w14:textId="77777777" w:rsidR="00FE0421" w:rsidRDefault="00FE0421" w:rsidP="00FE0421"/>
    <w:p w14:paraId="4740CA7F" w14:textId="77777777" w:rsidR="00FE0421" w:rsidRDefault="00FE0421" w:rsidP="00FE0421">
      <w:r>
        <w:t>Répartition Équitable des Bénéfices</w:t>
      </w:r>
    </w:p>
    <w:p w14:paraId="1BA541CE" w14:textId="77777777" w:rsidR="00FE0421" w:rsidRDefault="00FE0421" w:rsidP="00FE0421">
      <w:r>
        <w:t>Les politiques publiques doivent viser une répartition équitable des bénéfices de l'IA quantique. Cela pourrait inclure des incitations fiscales pour les entreprises qui investissent dans des technologies bénéfiques pour la société, des subventions pour la recherche publique, et des programmes de partage des bénéfices qui redistribuent les gains économiques à travers des investissements dans les infrastructures sociales.</w:t>
      </w:r>
    </w:p>
    <w:p w14:paraId="2DDA433E" w14:textId="77777777" w:rsidR="00FE0421" w:rsidRDefault="00FE0421" w:rsidP="00FE0421"/>
    <w:p w14:paraId="29527F56" w14:textId="77777777" w:rsidR="00FE0421" w:rsidRDefault="00FE0421" w:rsidP="00FE0421">
      <w:r>
        <w:t>Promotion de l'Emploi à Valeur Ajoutée</w:t>
      </w:r>
    </w:p>
    <w:p w14:paraId="5CEBC99A" w14:textId="77777777" w:rsidR="00FE0421" w:rsidRDefault="00FE0421" w:rsidP="00FE0421">
      <w:r>
        <w:t>Comme l'automatisation traditionnelle avait tendance à reclasser les travailleurs vers des emplois à plus forte valeur ajoutée, l'IA quantique pourrait également offrir de nouvelles opportunités. Les politiques doivent se concentrer sur la promotion de l'éducation continue et de la formation pour permettre aux travailleurs de s'adapter et de se déplacer vers des secteurs où l'interaction humaine et la créativité sont essentielles. En parallèle, encourager l'entrepreneuriat et l'innovation sociale peut créer de nouveaux types d'emplois et de services.</w:t>
      </w:r>
    </w:p>
    <w:p w14:paraId="5CA1FE19" w14:textId="77777777" w:rsidR="00FE0421" w:rsidRDefault="00FE0421" w:rsidP="00FE0421"/>
    <w:p w14:paraId="4D9DE72A" w14:textId="77777777" w:rsidR="00FE0421" w:rsidRDefault="00FE0421" w:rsidP="00FE0421">
      <w:r>
        <w:t>Conclusion</w:t>
      </w:r>
    </w:p>
    <w:p w14:paraId="273042A8" w14:textId="3DBA072E" w:rsidR="00FE0421" w:rsidRDefault="00FE0421" w:rsidP="00FE0421">
      <w:r>
        <w:t>L'IA quantique a le potentiel de transformer la société de manière profonde, offrant des gains d'efficacité et de productivité sans précédent. Cependant, pour que ces avantages soient partagés équitablement et contribuent à une société viable, une régulation efficace est indispensable. En mettant en place des politiques qui assurent une redistribution équitable des richesses, encouragent l'innovation éthique, et promeuvent l'emploi à valeur ajoutée, nous pouvons maximiser les bénéfices sociaux de l'IA quantique tout en minimisant ses risques.</w:t>
      </w:r>
    </w:p>
    <w:sectPr w:rsidR="00FE0421">
      <w:footerReference w:type="even" r:id="rId6"/>
      <w:footerReference w:type="default" r:id="rId7"/>
      <w:footerReference w:type="firs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59F4E" w14:textId="77777777" w:rsidR="00E37269" w:rsidRDefault="00E37269" w:rsidP="00187A61">
      <w:pPr>
        <w:spacing w:after="0" w:line="240" w:lineRule="auto"/>
      </w:pPr>
      <w:r>
        <w:separator/>
      </w:r>
    </w:p>
  </w:endnote>
  <w:endnote w:type="continuationSeparator" w:id="0">
    <w:p w14:paraId="437F2EC8" w14:textId="77777777" w:rsidR="00E37269" w:rsidRDefault="00E37269" w:rsidP="00187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594C" w14:textId="368F83FC" w:rsidR="00187A61" w:rsidRDefault="00187A61">
    <w:pPr>
      <w:pStyle w:val="Pieddepage"/>
    </w:pPr>
    <w:r>
      <w:rPr>
        <w:noProof/>
      </w:rPr>
      <mc:AlternateContent>
        <mc:Choice Requires="wps">
          <w:drawing>
            <wp:anchor distT="0" distB="0" distL="0" distR="0" simplePos="0" relativeHeight="251659264" behindDoc="0" locked="0" layoutInCell="1" allowOverlap="1" wp14:anchorId="3AC72EB1" wp14:editId="140196F6">
              <wp:simplePos x="635" y="635"/>
              <wp:positionH relativeFrom="page">
                <wp:align>center</wp:align>
              </wp:positionH>
              <wp:positionV relativeFrom="page">
                <wp:align>bottom</wp:align>
              </wp:positionV>
              <wp:extent cx="443865" cy="443865"/>
              <wp:effectExtent l="0" t="0" r="12065" b="0"/>
              <wp:wrapNone/>
              <wp:docPr id="2" name="Zone de texte 2" descr="C3 - Sensibl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3EFCA1F" w14:textId="5129F87A" w:rsidR="00187A61" w:rsidRPr="00187A61" w:rsidRDefault="00187A61" w:rsidP="00187A61">
                          <w:pPr>
                            <w:spacing w:after="0"/>
                            <w:rPr>
                              <w:rFonts w:ascii="Calibri" w:eastAsia="Calibri" w:hAnsi="Calibri" w:cs="Calibri"/>
                              <w:noProof/>
                              <w:color w:val="000000"/>
                              <w:sz w:val="20"/>
                              <w:szCs w:val="20"/>
                            </w:rPr>
                          </w:pPr>
                          <w:r w:rsidRPr="00187A61">
                            <w:rPr>
                              <w:rFonts w:ascii="Calibri" w:eastAsia="Calibri" w:hAnsi="Calibri" w:cs="Calibri"/>
                              <w:noProof/>
                              <w:color w:val="000000"/>
                              <w:sz w:val="20"/>
                              <w:szCs w:val="20"/>
                            </w:rPr>
                            <w:t>C3 - Sensible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AC72EB1" id="_x0000_t202" coordsize="21600,21600" o:spt="202" path="m,l,21600r21600,l21600,xe">
              <v:stroke joinstyle="miter"/>
              <v:path gradientshapeok="t" o:connecttype="rect"/>
            </v:shapetype>
            <v:shape id="Zone de texte 2" o:spid="_x0000_s1026" type="#_x0000_t202" alt="C3 - Sensible"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73EFCA1F" w14:textId="5129F87A" w:rsidR="00187A61" w:rsidRPr="00187A61" w:rsidRDefault="00187A61" w:rsidP="00187A61">
                    <w:pPr>
                      <w:spacing w:after="0"/>
                      <w:rPr>
                        <w:rFonts w:ascii="Calibri" w:eastAsia="Calibri" w:hAnsi="Calibri" w:cs="Calibri"/>
                        <w:noProof/>
                        <w:color w:val="000000"/>
                        <w:sz w:val="20"/>
                        <w:szCs w:val="20"/>
                      </w:rPr>
                    </w:pPr>
                    <w:r w:rsidRPr="00187A61">
                      <w:rPr>
                        <w:rFonts w:ascii="Calibri" w:eastAsia="Calibri" w:hAnsi="Calibri" w:cs="Calibri"/>
                        <w:noProof/>
                        <w:color w:val="000000"/>
                        <w:sz w:val="20"/>
                        <w:szCs w:val="20"/>
                      </w:rPr>
                      <w:t>C3 - Sensible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AADB1" w14:textId="21E76D84" w:rsidR="00187A61" w:rsidRDefault="00187A61">
    <w:pPr>
      <w:pStyle w:val="Pieddepage"/>
    </w:pPr>
    <w:r>
      <w:rPr>
        <w:noProof/>
      </w:rPr>
      <mc:AlternateContent>
        <mc:Choice Requires="wps">
          <w:drawing>
            <wp:anchor distT="0" distB="0" distL="0" distR="0" simplePos="0" relativeHeight="251660288" behindDoc="0" locked="0" layoutInCell="1" allowOverlap="1" wp14:anchorId="466118B3" wp14:editId="5E97E761">
              <wp:simplePos x="900820" y="10071980"/>
              <wp:positionH relativeFrom="page">
                <wp:align>center</wp:align>
              </wp:positionH>
              <wp:positionV relativeFrom="page">
                <wp:align>bottom</wp:align>
              </wp:positionV>
              <wp:extent cx="443865" cy="443865"/>
              <wp:effectExtent l="0" t="0" r="12065" b="0"/>
              <wp:wrapNone/>
              <wp:docPr id="3" name="Zone de texte 3" descr="C3 - Sensibl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B06D4E" w14:textId="335E3289" w:rsidR="00187A61" w:rsidRPr="00187A61" w:rsidRDefault="00187A61" w:rsidP="00187A61">
                          <w:pPr>
                            <w:spacing w:after="0"/>
                            <w:rPr>
                              <w:rFonts w:ascii="Calibri" w:eastAsia="Calibri" w:hAnsi="Calibri" w:cs="Calibri"/>
                              <w:noProof/>
                              <w:color w:val="000000"/>
                              <w:sz w:val="20"/>
                              <w:szCs w:val="20"/>
                            </w:rPr>
                          </w:pPr>
                          <w:r w:rsidRPr="00187A61">
                            <w:rPr>
                              <w:rFonts w:ascii="Calibri" w:eastAsia="Calibri" w:hAnsi="Calibri" w:cs="Calibri"/>
                              <w:noProof/>
                              <w:color w:val="000000"/>
                              <w:sz w:val="20"/>
                              <w:szCs w:val="20"/>
                            </w:rPr>
                            <w:t>C3 - Sensible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66118B3" id="_x0000_t202" coordsize="21600,21600" o:spt="202" path="m,l,21600r21600,l21600,xe">
              <v:stroke joinstyle="miter"/>
              <v:path gradientshapeok="t" o:connecttype="rect"/>
            </v:shapetype>
            <v:shape id="Zone de texte 3" o:spid="_x0000_s1027" type="#_x0000_t202" alt="C3 - Sensible"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48B06D4E" w14:textId="335E3289" w:rsidR="00187A61" w:rsidRPr="00187A61" w:rsidRDefault="00187A61" w:rsidP="00187A61">
                    <w:pPr>
                      <w:spacing w:after="0"/>
                      <w:rPr>
                        <w:rFonts w:ascii="Calibri" w:eastAsia="Calibri" w:hAnsi="Calibri" w:cs="Calibri"/>
                        <w:noProof/>
                        <w:color w:val="000000"/>
                        <w:sz w:val="20"/>
                        <w:szCs w:val="20"/>
                      </w:rPr>
                    </w:pPr>
                    <w:r w:rsidRPr="00187A61">
                      <w:rPr>
                        <w:rFonts w:ascii="Calibri" w:eastAsia="Calibri" w:hAnsi="Calibri" w:cs="Calibri"/>
                        <w:noProof/>
                        <w:color w:val="000000"/>
                        <w:sz w:val="20"/>
                        <w:szCs w:val="20"/>
                      </w:rPr>
                      <w:t>C3 - Sensible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6CA32" w14:textId="6F7643E5" w:rsidR="00187A61" w:rsidRDefault="00187A61">
    <w:pPr>
      <w:pStyle w:val="Pieddepage"/>
    </w:pPr>
    <w:r>
      <w:rPr>
        <w:noProof/>
      </w:rPr>
      <mc:AlternateContent>
        <mc:Choice Requires="wps">
          <w:drawing>
            <wp:anchor distT="0" distB="0" distL="0" distR="0" simplePos="0" relativeHeight="251658240" behindDoc="0" locked="0" layoutInCell="1" allowOverlap="1" wp14:anchorId="2717A9F8" wp14:editId="46F628CC">
              <wp:simplePos x="635" y="635"/>
              <wp:positionH relativeFrom="page">
                <wp:align>center</wp:align>
              </wp:positionH>
              <wp:positionV relativeFrom="page">
                <wp:align>bottom</wp:align>
              </wp:positionV>
              <wp:extent cx="443865" cy="443865"/>
              <wp:effectExtent l="0" t="0" r="12065" b="0"/>
              <wp:wrapNone/>
              <wp:docPr id="1" name="Zone de texte 1" descr="C3 - Sensibl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1B401D4" w14:textId="51B716E7" w:rsidR="00187A61" w:rsidRPr="00187A61" w:rsidRDefault="00187A61" w:rsidP="00187A61">
                          <w:pPr>
                            <w:spacing w:after="0"/>
                            <w:rPr>
                              <w:rFonts w:ascii="Calibri" w:eastAsia="Calibri" w:hAnsi="Calibri" w:cs="Calibri"/>
                              <w:noProof/>
                              <w:color w:val="000000"/>
                              <w:sz w:val="20"/>
                              <w:szCs w:val="20"/>
                            </w:rPr>
                          </w:pPr>
                          <w:r w:rsidRPr="00187A61">
                            <w:rPr>
                              <w:rFonts w:ascii="Calibri" w:eastAsia="Calibri" w:hAnsi="Calibri" w:cs="Calibri"/>
                              <w:noProof/>
                              <w:color w:val="000000"/>
                              <w:sz w:val="20"/>
                              <w:szCs w:val="20"/>
                            </w:rPr>
                            <w:t>C3 - Sensible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717A9F8" id="_x0000_t202" coordsize="21600,21600" o:spt="202" path="m,l,21600r21600,l21600,xe">
              <v:stroke joinstyle="miter"/>
              <v:path gradientshapeok="t" o:connecttype="rect"/>
            </v:shapetype>
            <v:shape id="Zone de texte 1" o:spid="_x0000_s1028" type="#_x0000_t202" alt="C3 - Sensible"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61B401D4" w14:textId="51B716E7" w:rsidR="00187A61" w:rsidRPr="00187A61" w:rsidRDefault="00187A61" w:rsidP="00187A61">
                    <w:pPr>
                      <w:spacing w:after="0"/>
                      <w:rPr>
                        <w:rFonts w:ascii="Calibri" w:eastAsia="Calibri" w:hAnsi="Calibri" w:cs="Calibri"/>
                        <w:noProof/>
                        <w:color w:val="000000"/>
                        <w:sz w:val="20"/>
                        <w:szCs w:val="20"/>
                      </w:rPr>
                    </w:pPr>
                    <w:r w:rsidRPr="00187A61">
                      <w:rPr>
                        <w:rFonts w:ascii="Calibri" w:eastAsia="Calibri" w:hAnsi="Calibri" w:cs="Calibri"/>
                        <w:noProof/>
                        <w:color w:val="000000"/>
                        <w:sz w:val="20"/>
                        <w:szCs w:val="20"/>
                      </w:rPr>
                      <w:t>C3 - Sensible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1D49B" w14:textId="77777777" w:rsidR="00E37269" w:rsidRDefault="00E37269" w:rsidP="00187A61">
      <w:pPr>
        <w:spacing w:after="0" w:line="240" w:lineRule="auto"/>
      </w:pPr>
      <w:r>
        <w:separator/>
      </w:r>
    </w:p>
  </w:footnote>
  <w:footnote w:type="continuationSeparator" w:id="0">
    <w:p w14:paraId="7530DC40" w14:textId="77777777" w:rsidR="00E37269" w:rsidRDefault="00E37269" w:rsidP="00187A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A61"/>
    <w:rsid w:val="000538C4"/>
    <w:rsid w:val="00187A61"/>
    <w:rsid w:val="002109AF"/>
    <w:rsid w:val="002903B9"/>
    <w:rsid w:val="00402453"/>
    <w:rsid w:val="00E37269"/>
    <w:rsid w:val="00ED0A1B"/>
    <w:rsid w:val="00FE04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CEC54"/>
  <w15:chartTrackingRefBased/>
  <w15:docId w15:val="{C87E0C45-D398-43ED-A4BD-DB7AB494E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187A6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7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1605</Words>
  <Characters>8832</Characters>
  <Application>Microsoft Office Word</Application>
  <DocSecurity>0</DocSecurity>
  <Lines>73</Lines>
  <Paragraphs>20</Paragraphs>
  <ScaleCrop>false</ScaleCrop>
  <Company>Ministeres Sociaux</Company>
  <LinksUpToDate>false</LinksUpToDate>
  <CharactersWithSpaces>10417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NAKHIL, Amine (DNUM/SDPSN/TRV)</dc:creator>
  <cp:keywords/>
  <dc:description/>
  <cp:lastModifiedBy>NAKHIL, Amine (DNUM/SDPSN/TRV)</cp:lastModifiedBy>
  <cp:revision>2</cp:revision>
  <dcterms:created xsi:type="dcterms:W3CDTF">2024-05-24T08:38:00Z</dcterms:created>
  <dcterms:modified xsi:type="dcterms:W3CDTF">2024-05-24T08:45:00Z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C3 - Sensible</vt:lpwstr>
  </property>
  <property fmtid="{D5CDD505-2E9C-101B-9397-08002B2CF9AE}" pid="5" name="MSIP_Label_84a755f0-ee11-4e51-8b3a-e314a53a997c_Enabled">
    <vt:lpwstr>true</vt:lpwstr>
  </property>
  <property fmtid="{D5CDD505-2E9C-101B-9397-08002B2CF9AE}" pid="6" name="MSIP_Label_84a755f0-ee11-4e51-8b3a-e314a53a997c_SetDate">
    <vt:lpwstr>2024-05-24T08:38:25Z</vt:lpwstr>
  </property>
  <property fmtid="{D5CDD505-2E9C-101B-9397-08002B2CF9AE}" pid="7" name="MSIP_Label_84a755f0-ee11-4e51-8b3a-e314a53a997c_Method">
    <vt:lpwstr>Privileged</vt:lpwstr>
  </property>
  <property fmtid="{D5CDD505-2E9C-101B-9397-08002B2CF9AE}" pid="8" name="MSIP_Label_84a755f0-ee11-4e51-8b3a-e314a53a997c_Name">
    <vt:lpwstr>[Prod v4] Mention "C3 - Sensible" - sans chiffrement</vt:lpwstr>
  </property>
  <property fmtid="{D5CDD505-2E9C-101B-9397-08002B2CF9AE}" pid="9" name="MSIP_Label_84a755f0-ee11-4e51-8b3a-e314a53a997c_SiteId">
    <vt:lpwstr>035e5292-5a25-4509-bb08-a555f7d31a8b</vt:lpwstr>
  </property>
  <property fmtid="{D5CDD505-2E9C-101B-9397-08002B2CF9AE}" pid="10" name="MSIP_Label_84a755f0-ee11-4e51-8b3a-e314a53a997c_ActionId">
    <vt:lpwstr>c5a23135-5575-4b65-8417-92687c319ce9</vt:lpwstr>
  </property>
  <property fmtid="{D5CDD505-2E9C-101B-9397-08002B2CF9AE}" pid="11" name="MSIP_Label_84a755f0-ee11-4e51-8b3a-e314a53a997c_ContentBits">
    <vt:lpwstr>2</vt:lpwstr>
  </property>
</Properties>
</file>