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81BF" w14:textId="77777777" w:rsidR="00187A61" w:rsidRDefault="00187A61" w:rsidP="00187A61">
      <w:r>
        <w:t>Partie 2 : Observations et Applications Pratiques</w:t>
      </w:r>
    </w:p>
    <w:p w14:paraId="2EA92B41" w14:textId="77777777" w:rsidR="00044389" w:rsidRDefault="00044389" w:rsidP="00044389"/>
    <w:p w14:paraId="2AED38ED" w14:textId="77777777" w:rsidR="00044389" w:rsidRDefault="00044389" w:rsidP="00044389">
      <w:r>
        <w:t>Introduction</w:t>
      </w:r>
    </w:p>
    <w:p w14:paraId="69ADAD8B" w14:textId="77777777" w:rsidR="00044389" w:rsidRDefault="00044389" w:rsidP="00044389">
      <w:r>
        <w:t xml:space="preserve">Dans cette deuxième partie de la thèse, nous allons démontrer comment les fondements théoriques décrits dans la Partie 1 ont trouvé des applications concrètes lors des conférences auxquelles j'ai assisté au salon </w:t>
      </w:r>
      <w:proofErr w:type="spellStart"/>
      <w:r>
        <w:t>VivaTech</w:t>
      </w:r>
      <w:proofErr w:type="spellEnd"/>
      <w:r>
        <w:t xml:space="preserve"> 2024 à la Porte de Versailles. Ces conférences ont mis en lumière les avancées significatives dans le domaine de l'intelligence artificielle (IA), plus particulièrement dans le mariage entre le </w:t>
      </w:r>
      <w:proofErr w:type="spellStart"/>
      <w:r>
        <w:t>deep</w:t>
      </w:r>
      <w:proofErr w:type="spellEnd"/>
      <w:r>
        <w:t xml:space="preserve"> </w:t>
      </w:r>
      <w:proofErr w:type="spellStart"/>
      <w:r>
        <w:t>learning</w:t>
      </w:r>
      <w:proofErr w:type="spellEnd"/>
      <w:r>
        <w:t xml:space="preserve"> et les réseaux neuronaux quantiques (QNN).</w:t>
      </w:r>
    </w:p>
    <w:p w14:paraId="46E79858" w14:textId="77777777" w:rsidR="00044389" w:rsidRDefault="00044389" w:rsidP="00044389"/>
    <w:p w14:paraId="3DCC428F" w14:textId="77777777" w:rsidR="00044389" w:rsidRDefault="00044389" w:rsidP="00044389">
      <w:r>
        <w:t xml:space="preserve">Les concepts théoriques tels que les modèles mathématiques pour l'apprentissage profond, les méthodes d'optimisation des réseaux de neurones et l'application de la théorie de l'information à l'IA, discutés dans la Partie 1, ont été au cœur des présentations et des discussions à </w:t>
      </w:r>
      <w:proofErr w:type="spellStart"/>
      <w:r>
        <w:t>VivaTech</w:t>
      </w:r>
      <w:proofErr w:type="spellEnd"/>
      <w:r>
        <w:t xml:space="preserve"> 2024. Ces conférences ont illustré comment ces principes théoriques se traduisent en innovations pratiques et en applications révolutionnaires dans divers domaines.</w:t>
      </w:r>
    </w:p>
    <w:p w14:paraId="60223293" w14:textId="77777777" w:rsidR="00044389" w:rsidRDefault="00044389" w:rsidP="00044389"/>
    <w:p w14:paraId="1AFB2E4F" w14:textId="77777777" w:rsidR="00044389" w:rsidRDefault="00044389" w:rsidP="00044389">
      <w:r>
        <w:t xml:space="preserve">Observations lors des Conférences à </w:t>
      </w:r>
      <w:proofErr w:type="spellStart"/>
      <w:r>
        <w:t>VivaTech</w:t>
      </w:r>
      <w:proofErr w:type="spellEnd"/>
      <w:r>
        <w:t xml:space="preserve"> 2024</w:t>
      </w:r>
    </w:p>
    <w:p w14:paraId="312C5EAC" w14:textId="77777777" w:rsidR="00044389" w:rsidRDefault="00044389" w:rsidP="00044389">
      <w:proofErr w:type="spellStart"/>
      <w:r>
        <w:t>VivaTech</w:t>
      </w:r>
      <w:proofErr w:type="spellEnd"/>
      <w:r>
        <w:t xml:space="preserve"> 2024 a été un rendez-vous incontournable pour les experts et les passionnés d'IA. Deux conférences en particulier ont illustré de manière exemplaire les applications des concepts théoriques étudiés dans cette thèse : la première portait sur les avancées en </w:t>
      </w:r>
      <w:proofErr w:type="spellStart"/>
      <w:r>
        <w:t>deep</w:t>
      </w:r>
      <w:proofErr w:type="spellEnd"/>
      <w:r>
        <w:t xml:space="preserve"> </w:t>
      </w:r>
      <w:proofErr w:type="spellStart"/>
      <w:r>
        <w:t>learning</w:t>
      </w:r>
      <w:proofErr w:type="spellEnd"/>
      <w:r>
        <w:t xml:space="preserve"> appliqué à la reconnaissance de motifs complexes et la seconde sur les innovations récentes en réseaux neuronaux quantiques.</w:t>
      </w:r>
    </w:p>
    <w:p w14:paraId="0E38BB63" w14:textId="77777777" w:rsidR="00044389" w:rsidRDefault="00044389" w:rsidP="00044389"/>
    <w:p w14:paraId="317982B5" w14:textId="77777777" w:rsidR="00044389" w:rsidRDefault="00044389" w:rsidP="00044389">
      <w:r>
        <w:t>Conférence 1 : Avancées en Deep Learning</w:t>
      </w:r>
    </w:p>
    <w:p w14:paraId="1D982702" w14:textId="77777777" w:rsidR="00044389" w:rsidRDefault="00044389" w:rsidP="00044389">
      <w:r>
        <w:t xml:space="preserve">La première conférence à laquelle j'ai assisté était présentée par Yann </w:t>
      </w:r>
      <w:proofErr w:type="spellStart"/>
      <w:r>
        <w:t>LeCun</w:t>
      </w:r>
      <w:proofErr w:type="spellEnd"/>
      <w:r>
        <w:t xml:space="preserve">, un pionnier en intelligence artificielle et en apprentissage profond et actuellement Chief AI </w:t>
      </w:r>
      <w:proofErr w:type="spellStart"/>
      <w:r>
        <w:t>Scientist</w:t>
      </w:r>
      <w:proofErr w:type="spellEnd"/>
      <w:r>
        <w:t xml:space="preserve"> chez Meta. Il a exposé les dernières avancées dans la reconnaissance de motifs complexes grâce aux réseaux de neurones profonds (DNN). Les points saillants de sa présentation étaient :</w:t>
      </w:r>
    </w:p>
    <w:p w14:paraId="711D359D" w14:textId="77777777" w:rsidR="00044389" w:rsidRDefault="00044389" w:rsidP="00044389"/>
    <w:p w14:paraId="089EC997" w14:textId="77777777" w:rsidR="00044389" w:rsidRDefault="00044389" w:rsidP="00044389">
      <w:r>
        <w:t>Nouvelles Architectures de DNN :</w:t>
      </w:r>
    </w:p>
    <w:p w14:paraId="4EA85B94" w14:textId="77777777" w:rsidR="00044389" w:rsidRDefault="00044389" w:rsidP="00044389"/>
    <w:p w14:paraId="2BCE1FAC" w14:textId="77777777" w:rsidR="00044389" w:rsidRDefault="00044389" w:rsidP="00044389">
      <w:r>
        <w:t xml:space="preserve">Yann </w:t>
      </w:r>
      <w:proofErr w:type="spellStart"/>
      <w:r>
        <w:t>LeCun</w:t>
      </w:r>
      <w:proofErr w:type="spellEnd"/>
      <w:r>
        <w:t xml:space="preserve"> a présenté des architectures de réseaux de neurones optimisées pour la reconnaissance de motifs dans des images et des vidéos. Ces architectures intègrent des couches convolutives avancées et des mécanismes d'attention qui permettent de capturer des détails subtils et des relations spatiales complexes. Ces innovations font directement écho aux discussions théoriques de la Partie 1 concernant les avantages des couches convolutives pour la vision par ordinateur et l'importance des mécanismes d'attention pour améliorer la performance des modèles.</w:t>
      </w:r>
    </w:p>
    <w:p w14:paraId="1DA1DA56" w14:textId="77777777" w:rsidR="00044389" w:rsidRDefault="00044389" w:rsidP="00044389">
      <w:r>
        <w:t>Optimisation et Régularisation :</w:t>
      </w:r>
    </w:p>
    <w:p w14:paraId="6541C857" w14:textId="77777777" w:rsidR="00044389" w:rsidRDefault="00044389" w:rsidP="00044389"/>
    <w:p w14:paraId="27AFAD2A" w14:textId="77777777" w:rsidR="00044389" w:rsidRDefault="00044389" w:rsidP="00044389">
      <w:r>
        <w:lastRenderedPageBreak/>
        <w:t>Il a expliqué comment des techniques d'optimisation telles que l'Adam et la régularisation par dropout sont cruciales pour améliorer la performance et la généralisation des modèles. Ces techniques permettent de minimiser les risques de surapprentissage et de converger plus rapidement vers des solutions optimales. La Partie 1 a détaillé ces méthodes d'optimisation et de régularisation, soulignant leur importance dans l'apprentissage profond.</w:t>
      </w:r>
    </w:p>
    <w:p w14:paraId="1992EBE4" w14:textId="77777777" w:rsidR="00044389" w:rsidRDefault="00044389" w:rsidP="00044389">
      <w:r>
        <w:t>Applications Pratiques :</w:t>
      </w:r>
    </w:p>
    <w:p w14:paraId="3470562E" w14:textId="77777777" w:rsidR="00044389" w:rsidRDefault="00044389" w:rsidP="00044389"/>
    <w:p w14:paraId="54A70012" w14:textId="77777777" w:rsidR="00044389" w:rsidRDefault="00044389" w:rsidP="00044389">
      <w:r>
        <w:t>Des applications concrètes ont été démontrées, notamment dans le domaine médical pour la détection précoce de maladies à partir d'images médicales et dans la sécurité pour la reconnaissance faciale en temps réel. Ces exemples montrent comment les avancées théoriques se traduisent en solutions pratiques ayant un impact significatif sur la société.</w:t>
      </w:r>
    </w:p>
    <w:p w14:paraId="25BA98D1" w14:textId="77777777" w:rsidR="00044389" w:rsidRDefault="00044389" w:rsidP="00044389">
      <w:r>
        <w:t>Cette conférence a clairement illustré comment les modèles mathématiques et les méthodes d'optimisation discutés dans la Partie 1 de cette thèse sont utilisés dans des applications réelles, démontrant leur efficacité et leur pertinence.</w:t>
      </w:r>
    </w:p>
    <w:p w14:paraId="02856172" w14:textId="77777777" w:rsidR="00044389" w:rsidRDefault="00044389" w:rsidP="00044389"/>
    <w:p w14:paraId="51F80BE2" w14:textId="77777777" w:rsidR="00044389" w:rsidRDefault="00044389" w:rsidP="00044389">
      <w:r>
        <w:t>Conférence 2 : Innovations en Réseaux Neuronaux Quantiques</w:t>
      </w:r>
    </w:p>
    <w:p w14:paraId="33ECC328" w14:textId="77777777" w:rsidR="00044389" w:rsidRDefault="00044389" w:rsidP="00044389">
      <w:r>
        <w:t xml:space="preserve">La deuxième conférence, animée par </w:t>
      </w:r>
      <w:proofErr w:type="spellStart"/>
      <w:r>
        <w:t>Yoshua</w:t>
      </w:r>
      <w:proofErr w:type="spellEnd"/>
      <w:r>
        <w:t xml:space="preserve"> Bengio, l'un des principaux chercheurs en apprentissage profond et fondateur de Mila (Institut québécois d'intelligence artificielle), était consacrée aux réseaux neuronaux quantiques. Cette présentation a été particulièrement révélatrice des immenses potentialités du mariage entre </w:t>
      </w:r>
      <w:proofErr w:type="spellStart"/>
      <w:r>
        <w:t>deep</w:t>
      </w:r>
      <w:proofErr w:type="spellEnd"/>
      <w:r>
        <w:t xml:space="preserve"> </w:t>
      </w:r>
      <w:proofErr w:type="spellStart"/>
      <w:r>
        <w:t>learning</w:t>
      </w:r>
      <w:proofErr w:type="spellEnd"/>
      <w:r>
        <w:t xml:space="preserve"> et informatique quantique. Les principaux points abordés étaient :</w:t>
      </w:r>
    </w:p>
    <w:p w14:paraId="1D07AF26" w14:textId="77777777" w:rsidR="00044389" w:rsidRDefault="00044389" w:rsidP="00044389"/>
    <w:p w14:paraId="4AD70192" w14:textId="77777777" w:rsidR="00044389" w:rsidRDefault="00044389" w:rsidP="00044389">
      <w:r>
        <w:t>Architecture des QNN :</w:t>
      </w:r>
    </w:p>
    <w:p w14:paraId="356423CB" w14:textId="77777777" w:rsidR="00044389" w:rsidRDefault="00044389" w:rsidP="00044389"/>
    <w:p w14:paraId="5DBDEFD9" w14:textId="77777777" w:rsidR="00044389" w:rsidRDefault="00044389" w:rsidP="00044389">
      <w:proofErr w:type="spellStart"/>
      <w:r>
        <w:t>Yoshua</w:t>
      </w:r>
      <w:proofErr w:type="spellEnd"/>
      <w:r>
        <w:t xml:space="preserve"> Bengio a détaillé comment les qubits et les portes quantiques sont intégrés dans les réseaux neuronaux pour créer des modèles hybrides. Ces modèles exploitent les propriétés de superposition et d'intrication des qubits pour effectuer des calculs parallèles massifs, augmentant ainsi l'efficacité du traitement. La Partie 1 a introduit les concepts de superposition et d'intrication, ainsi que leur application dans les QNN pour améliorer la capacité de calcul et la performance des modèles.</w:t>
      </w:r>
    </w:p>
    <w:p w14:paraId="5AA72E26" w14:textId="77777777" w:rsidR="00044389" w:rsidRDefault="00044389" w:rsidP="00044389">
      <w:r>
        <w:t>Algorithmes de Descente de Gradient Quantique :</w:t>
      </w:r>
    </w:p>
    <w:p w14:paraId="5AA24B3C" w14:textId="77777777" w:rsidR="00044389" w:rsidRDefault="00044389" w:rsidP="00044389"/>
    <w:p w14:paraId="1F2D1810" w14:textId="77777777" w:rsidR="00044389" w:rsidRDefault="00044389" w:rsidP="00044389">
      <w:r>
        <w:t>Il a expliqué comment les algorithmes de descente de gradient quantique permettent d'optimiser les paramètres des modèles de manière plus rapide et plus efficace que les méthodes classiques. Ces algorithmes exploitent les capacités des qubits à représenter simultanément plusieurs états, réduisant ainsi considérablement le temps d'entraînement. Les méthodes d'optimisation des réseaux neuronaux ont été discutées en détail dans la Partie 1, mettant en avant l'importance de l'efficacité des algorithmes pour l'apprentissage profond.</w:t>
      </w:r>
    </w:p>
    <w:p w14:paraId="2000DA6F" w14:textId="77777777" w:rsidR="00044389" w:rsidRDefault="00044389" w:rsidP="00044389">
      <w:r>
        <w:t>Applications et Études de Cas :</w:t>
      </w:r>
    </w:p>
    <w:p w14:paraId="5BC885C7" w14:textId="77777777" w:rsidR="00044389" w:rsidRDefault="00044389" w:rsidP="00044389"/>
    <w:p w14:paraId="36C0F8A3" w14:textId="77777777" w:rsidR="00044389" w:rsidRDefault="00044389" w:rsidP="00044389">
      <w:proofErr w:type="spellStart"/>
      <w:r>
        <w:lastRenderedPageBreak/>
        <w:t>Yoshua</w:t>
      </w:r>
      <w:proofErr w:type="spellEnd"/>
      <w:r>
        <w:t xml:space="preserve"> Bengio a présenté plusieurs études de cas, notamment dans la simulation de systèmes moléculaires pour la recherche en chimie et la résolution de problèmes d'optimisation complexe. Ces exemples ont montré comment les QNN surpassent les approches classiques en termes de vitesse et de précision. Ces applications illustrent les bénéfices pratiques des théories et concepts explorés dans la Partie 1.</w:t>
      </w:r>
    </w:p>
    <w:p w14:paraId="240F5AC9" w14:textId="77777777" w:rsidR="00044389" w:rsidRDefault="00044389" w:rsidP="00044389">
      <w:r>
        <w:t>Conclusion</w:t>
      </w:r>
    </w:p>
    <w:p w14:paraId="400BFD80" w14:textId="7C1A9520" w:rsidR="00187A61" w:rsidRDefault="00044389" w:rsidP="00044389">
      <w:r>
        <w:t xml:space="preserve">Les conférences auxquelles j'ai assisté à </w:t>
      </w:r>
      <w:proofErr w:type="spellStart"/>
      <w:r>
        <w:t>VivaTech</w:t>
      </w:r>
      <w:proofErr w:type="spellEnd"/>
      <w:r>
        <w:t xml:space="preserve"> 2024 ont confirmé que les fondements théoriques du </w:t>
      </w:r>
      <w:proofErr w:type="spellStart"/>
      <w:r>
        <w:t>deep</w:t>
      </w:r>
      <w:proofErr w:type="spellEnd"/>
      <w:r>
        <w:t xml:space="preserve"> </w:t>
      </w:r>
      <w:proofErr w:type="spellStart"/>
      <w:r>
        <w:t>learning</w:t>
      </w:r>
      <w:proofErr w:type="spellEnd"/>
      <w:r>
        <w:t xml:space="preserve"> et des réseaux neuronaux quantiques sont non seulement solides mais aussi d'une pertinence et d'une efficacité remarquables dans des applications pratiques. Le potentiel de ces technologies est immense, promettant des avancées significatives dans de nombreux domaines. Cette observation directe renforce la validité et l'importance des recherches présentées dans cette thèse.</w:t>
      </w:r>
    </w:p>
    <w:p w14:paraId="228CCFA8" w14:textId="77777777" w:rsidR="00044389" w:rsidRDefault="00044389" w:rsidP="00044389">
      <w:r>
        <w:t xml:space="preserve">Observations lors des Conférences à </w:t>
      </w:r>
      <w:proofErr w:type="spellStart"/>
      <w:r>
        <w:t>VivaTech</w:t>
      </w:r>
      <w:proofErr w:type="spellEnd"/>
      <w:r>
        <w:t xml:space="preserve"> 2024</w:t>
      </w:r>
    </w:p>
    <w:p w14:paraId="0F0711DD" w14:textId="77777777" w:rsidR="00044389" w:rsidRDefault="00044389" w:rsidP="00044389">
      <w:proofErr w:type="spellStart"/>
      <w:r>
        <w:t>VivaTech</w:t>
      </w:r>
      <w:proofErr w:type="spellEnd"/>
      <w:r>
        <w:t xml:space="preserve"> 2024 a été un rendez-vous incontournable pour les experts et les passionnés d'IA. Deux conférences, en particulier, ont illustré de manière exemplaire les applications des concepts théoriques étudiés dans cette thèse : la première portait sur les avancées en </w:t>
      </w:r>
      <w:proofErr w:type="spellStart"/>
      <w:r>
        <w:t>deep</w:t>
      </w:r>
      <w:proofErr w:type="spellEnd"/>
      <w:r>
        <w:t xml:space="preserve"> </w:t>
      </w:r>
      <w:proofErr w:type="spellStart"/>
      <w:r>
        <w:t>learning</w:t>
      </w:r>
      <w:proofErr w:type="spellEnd"/>
      <w:r>
        <w:t xml:space="preserve"> appliqué à la reconnaissance de motifs complexes, et la seconde sur les innovations récentes en réseaux neuronaux quantiques.</w:t>
      </w:r>
    </w:p>
    <w:p w14:paraId="1D44F6BF" w14:textId="77777777" w:rsidR="00044389" w:rsidRDefault="00044389" w:rsidP="00044389"/>
    <w:p w14:paraId="79BABE59" w14:textId="77777777" w:rsidR="00044389" w:rsidRDefault="00044389" w:rsidP="00044389">
      <w:r>
        <w:t>Conférence 1 : Avancées en Deep Learning</w:t>
      </w:r>
    </w:p>
    <w:p w14:paraId="0C2548AF" w14:textId="77777777" w:rsidR="00044389" w:rsidRDefault="00044389" w:rsidP="00044389">
      <w:r>
        <w:t xml:space="preserve">La première conférence à laquelle j'ai assisté était présentée par Yann </w:t>
      </w:r>
      <w:proofErr w:type="spellStart"/>
      <w:r>
        <w:t>LeCun</w:t>
      </w:r>
      <w:proofErr w:type="spellEnd"/>
      <w:r>
        <w:t xml:space="preserve">, un pionnier en intelligence artificielle et en apprentissage profond et actuellement Chief AI </w:t>
      </w:r>
      <w:proofErr w:type="spellStart"/>
      <w:r>
        <w:t>Scientist</w:t>
      </w:r>
      <w:proofErr w:type="spellEnd"/>
      <w:r>
        <w:t xml:space="preserve"> chez Meta. Il a exposé les dernières avancées dans la reconnaissance de motifs complexes grâce aux réseaux de neurones profonds (DNN). Les points saillants de sa présentation étaient :</w:t>
      </w:r>
    </w:p>
    <w:p w14:paraId="0D6207DE" w14:textId="77777777" w:rsidR="00044389" w:rsidRDefault="00044389" w:rsidP="00044389"/>
    <w:p w14:paraId="04D47C29" w14:textId="77777777" w:rsidR="00044389" w:rsidRDefault="00044389" w:rsidP="00044389">
      <w:r>
        <w:t>Nouvelles Architectures de DNN :</w:t>
      </w:r>
    </w:p>
    <w:p w14:paraId="66ABE052" w14:textId="77777777" w:rsidR="00044389" w:rsidRDefault="00044389" w:rsidP="00044389"/>
    <w:p w14:paraId="6AC9A92A" w14:textId="77777777" w:rsidR="00044389" w:rsidRDefault="00044389" w:rsidP="00044389">
      <w:r>
        <w:t xml:space="preserve">Yann </w:t>
      </w:r>
      <w:proofErr w:type="spellStart"/>
      <w:r>
        <w:t>LeCun</w:t>
      </w:r>
      <w:proofErr w:type="spellEnd"/>
      <w:r>
        <w:t xml:space="preserve"> a présenté des architectures de réseaux de neurones optimisées pour la reconnaissance de motifs dans des images et des vidéos. Ces architectures intègrent des couches convolutives avancées et des mécanismes d'attention qui permettent de capturer des détails subtils et des relations spatiales complexes. Ces innovations sont directement liées aux discussions théoriques de la Partie 1 concernant les avantages des couches convolutives pour la vision par ordinateur et l'importance des mécanismes d'attention pour améliorer la performance des modèles.</w:t>
      </w:r>
    </w:p>
    <w:p w14:paraId="556BA85E" w14:textId="77777777" w:rsidR="00044389" w:rsidRDefault="00044389" w:rsidP="00044389">
      <w:r>
        <w:t>Optimisation et Régularisation :</w:t>
      </w:r>
    </w:p>
    <w:p w14:paraId="1E26FE95" w14:textId="77777777" w:rsidR="00044389" w:rsidRDefault="00044389" w:rsidP="00044389"/>
    <w:p w14:paraId="59016B33" w14:textId="77777777" w:rsidR="00044389" w:rsidRDefault="00044389" w:rsidP="00044389">
      <w:r>
        <w:t>Il a expliqué comment des techniques d'optimisation telles que l'Adam et la régularisation par dropout sont cruciales pour améliorer la performance et la généralisation des modèles. Ces techniques permettent de minimiser les risques de surapprentissage et de converger plus rapidement vers des solutions optimales. La Partie 1 a détaillé ces méthodes d'optimisation et de régularisation, soulignant leur importance dans l'apprentissage profond.</w:t>
      </w:r>
    </w:p>
    <w:p w14:paraId="267A71E6" w14:textId="77777777" w:rsidR="00044389" w:rsidRDefault="00044389" w:rsidP="00044389">
      <w:r>
        <w:lastRenderedPageBreak/>
        <w:t>Applications Pratiques :</w:t>
      </w:r>
    </w:p>
    <w:p w14:paraId="42704D63" w14:textId="77777777" w:rsidR="00044389" w:rsidRDefault="00044389" w:rsidP="00044389"/>
    <w:p w14:paraId="695597B8" w14:textId="77777777" w:rsidR="00044389" w:rsidRDefault="00044389" w:rsidP="00044389">
      <w:r>
        <w:t>Des applications concrètes ont été démontrées, notamment dans le domaine médical pour la détection précoce de maladies à partir d'images médicales et dans la sécurité pour la reconnaissance faciale en temps réel. Ces exemples montrent comment les avancées théoriques se traduisent en solutions pratiques ayant un impact significatif sur la société.</w:t>
      </w:r>
    </w:p>
    <w:p w14:paraId="13AA55FF" w14:textId="77777777" w:rsidR="00044389" w:rsidRDefault="00044389" w:rsidP="00044389">
      <w:r>
        <w:t>Cette conférence a clairement illustré comment les modèles mathématiques et les méthodes d'optimisation discutés dans la Partie 1 de cette thèse sont utilisés dans des applications réelles, démontrant leur efficacité et leur pertinence.</w:t>
      </w:r>
    </w:p>
    <w:p w14:paraId="08B1DD8C" w14:textId="77777777" w:rsidR="00044389" w:rsidRDefault="00044389" w:rsidP="00044389"/>
    <w:p w14:paraId="2A8D0965" w14:textId="77777777" w:rsidR="00044389" w:rsidRDefault="00044389" w:rsidP="00044389">
      <w:r>
        <w:t>Conférence 2 : Innovations en Réseaux Neuronaux Quantiques</w:t>
      </w:r>
    </w:p>
    <w:p w14:paraId="7FAE30BE" w14:textId="77777777" w:rsidR="00044389" w:rsidRDefault="00044389" w:rsidP="00044389">
      <w:r>
        <w:t xml:space="preserve">La deuxième conférence, animée par </w:t>
      </w:r>
      <w:proofErr w:type="spellStart"/>
      <w:r>
        <w:t>Yoshua</w:t>
      </w:r>
      <w:proofErr w:type="spellEnd"/>
      <w:r>
        <w:t xml:space="preserve"> Bengio, l'un des principaux chercheurs en apprentissage profond et fondateur de Mila (Institut québécois d'intelligence artificielle), était consacrée aux réseaux neuronaux quantiques. Cette présentation a été particulièrement révélatrice des immenses potentialités du mariage entre </w:t>
      </w:r>
      <w:proofErr w:type="spellStart"/>
      <w:r>
        <w:t>deep</w:t>
      </w:r>
      <w:proofErr w:type="spellEnd"/>
      <w:r>
        <w:t xml:space="preserve"> </w:t>
      </w:r>
      <w:proofErr w:type="spellStart"/>
      <w:r>
        <w:t>learning</w:t>
      </w:r>
      <w:proofErr w:type="spellEnd"/>
      <w:r>
        <w:t xml:space="preserve"> et informatique quantique. Les principaux points abordés étaient :</w:t>
      </w:r>
    </w:p>
    <w:p w14:paraId="5890ED0C" w14:textId="77777777" w:rsidR="00044389" w:rsidRDefault="00044389" w:rsidP="00044389"/>
    <w:p w14:paraId="4AE2C14C" w14:textId="77777777" w:rsidR="00044389" w:rsidRDefault="00044389" w:rsidP="00044389">
      <w:r>
        <w:t>Architecture des QNN :</w:t>
      </w:r>
    </w:p>
    <w:p w14:paraId="781E5593" w14:textId="77777777" w:rsidR="00044389" w:rsidRDefault="00044389" w:rsidP="00044389"/>
    <w:p w14:paraId="3EC5E7DB" w14:textId="77777777" w:rsidR="00044389" w:rsidRDefault="00044389" w:rsidP="00044389">
      <w:proofErr w:type="spellStart"/>
      <w:r>
        <w:t>Yoshua</w:t>
      </w:r>
      <w:proofErr w:type="spellEnd"/>
      <w:r>
        <w:t xml:space="preserve"> Bengio a détaillé comment les qubits et les portes quantiques sont intégrés dans les réseaux neuronaux pour créer des modèles hybrides. Ces modèles exploitent les propriétés de superposition et d'intrication des qubits pour effectuer des calculs parallèles massifs, augmentant ainsi l'efficacité du traitement. La Partie 1 a introduit les concepts de superposition et d'intrication, ainsi que leur application dans les QNN pour améliorer la capacité de calcul et la performance des modèles.</w:t>
      </w:r>
    </w:p>
    <w:p w14:paraId="495C9559" w14:textId="77777777" w:rsidR="00044389" w:rsidRDefault="00044389" w:rsidP="00044389">
      <w:r>
        <w:t>Algorithmes de Descente de Gradient Quantique :</w:t>
      </w:r>
    </w:p>
    <w:p w14:paraId="7FDA5A89" w14:textId="77777777" w:rsidR="00044389" w:rsidRDefault="00044389" w:rsidP="00044389"/>
    <w:p w14:paraId="76D0267D" w14:textId="77777777" w:rsidR="00044389" w:rsidRDefault="00044389" w:rsidP="00044389">
      <w:r>
        <w:t>Il a expliqué comment les algorithmes de descente de gradient quantique permettent d'optimiser les paramètres des modèles de manière plus rapide et plus efficace que les méthodes classiques. Ces algorithmes exploitent les capacités des qubits à représenter simultanément plusieurs états, réduisant ainsi considérablement le temps d'entraînement. Les méthodes d'optimisation des réseaux neuronaux ont été discutées en détail dans la Partie 1, mettant en avant l'importance de l'efficacité des algorithmes pour l'apprentissage profond.</w:t>
      </w:r>
    </w:p>
    <w:p w14:paraId="2A6178D5" w14:textId="77777777" w:rsidR="00044389" w:rsidRDefault="00044389" w:rsidP="00044389">
      <w:r>
        <w:t>Applications et Études de Cas :</w:t>
      </w:r>
    </w:p>
    <w:p w14:paraId="78653ABF" w14:textId="77777777" w:rsidR="00044389" w:rsidRDefault="00044389" w:rsidP="00044389"/>
    <w:p w14:paraId="5E8BBA81" w14:textId="77777777" w:rsidR="00044389" w:rsidRDefault="00044389" w:rsidP="00044389">
      <w:proofErr w:type="spellStart"/>
      <w:r>
        <w:t>Yoshua</w:t>
      </w:r>
      <w:proofErr w:type="spellEnd"/>
      <w:r>
        <w:t xml:space="preserve"> Bengio a présenté plusieurs études de cas, notamment dans la simulation de systèmes moléculaires pour la recherche en chimie et la résolution de problèmes d'optimisation complexe. Ces exemples ont montré comment les QNN surpassent les approches classiques en termes de vitesse et de précision. Ces applications illustrent les bénéfices pratiques des théories et concepts explorés dans la Partie 1.</w:t>
      </w:r>
    </w:p>
    <w:p w14:paraId="317ED04A" w14:textId="77777777" w:rsidR="00044389" w:rsidRDefault="00044389" w:rsidP="00044389">
      <w:r>
        <w:lastRenderedPageBreak/>
        <w:t>Conclusion</w:t>
      </w:r>
    </w:p>
    <w:p w14:paraId="742C4F9C" w14:textId="69097029" w:rsidR="00187A61" w:rsidRDefault="00044389" w:rsidP="00044389">
      <w:r>
        <w:t xml:space="preserve">Les conférences auxquelles j'ai assisté à </w:t>
      </w:r>
      <w:proofErr w:type="spellStart"/>
      <w:r>
        <w:t>VivaTech</w:t>
      </w:r>
      <w:proofErr w:type="spellEnd"/>
      <w:r>
        <w:t xml:space="preserve"> 2024 ont confirmé que les fondements théoriques du </w:t>
      </w:r>
      <w:proofErr w:type="spellStart"/>
      <w:r>
        <w:t>deep</w:t>
      </w:r>
      <w:proofErr w:type="spellEnd"/>
      <w:r>
        <w:t xml:space="preserve"> </w:t>
      </w:r>
      <w:proofErr w:type="spellStart"/>
      <w:r>
        <w:t>learning</w:t>
      </w:r>
      <w:proofErr w:type="spellEnd"/>
      <w:r>
        <w:t xml:space="preserve"> et des réseaux neuronaux quantiques sont non seulement solides mais aussi d'une pertinence et d'une efficacité remarquables dans des applications pratiques. Le potentiel de ces technologies est immense, promettant des avancées significatives dans de nombreux domaines. Cette observation directe renforce la validité et l'importance des recherches présentées dans cette thèse.</w:t>
      </w:r>
    </w:p>
    <w:p w14:paraId="308C75BD" w14:textId="77777777" w:rsidR="00187A61" w:rsidRDefault="00187A61" w:rsidP="00187A61"/>
    <w:p w14:paraId="178DABA1" w14:textId="77777777" w:rsidR="00187A61" w:rsidRDefault="00187A61" w:rsidP="00187A61">
      <w:r>
        <w:t>Conclusion</w:t>
      </w:r>
    </w:p>
    <w:p w14:paraId="4E8C66EE" w14:textId="30FDFC68" w:rsidR="00402453" w:rsidRDefault="00187A61" w:rsidP="00187A61">
      <w:r>
        <w:t xml:space="preserve">Les conférences auxquelles j'ai assisté à </w:t>
      </w:r>
      <w:proofErr w:type="spellStart"/>
      <w:r>
        <w:t>VivaTech</w:t>
      </w:r>
      <w:proofErr w:type="spellEnd"/>
      <w:r>
        <w:t xml:space="preserve"> 2024 ont confirmé que les fondements théoriques du </w:t>
      </w:r>
      <w:proofErr w:type="spellStart"/>
      <w:r>
        <w:t>deep</w:t>
      </w:r>
      <w:proofErr w:type="spellEnd"/>
      <w:r>
        <w:t xml:space="preserve"> </w:t>
      </w:r>
      <w:proofErr w:type="spellStart"/>
      <w:r>
        <w:t>learning</w:t>
      </w:r>
      <w:proofErr w:type="spellEnd"/>
      <w:r>
        <w:t xml:space="preserve"> et des réseaux neuronaux quantiques sont non seulement solides, mais aussi d'une pertinence et d'une efficacité remarquables dans des applications pratiques. Le potentiel de ces technologies est immense, promettant des avancées significatives dans de nombreux domaines. Cette observation directe renforce la validité et l'importance des recherches présentées dans cette thèse​</w:t>
      </w:r>
    </w:p>
    <w:p w14:paraId="0DE5A3B7" w14:textId="77777777" w:rsidR="00FE0421" w:rsidRDefault="00FE0421" w:rsidP="00FE0421">
      <w:r>
        <w:t>Partie 2 bis : Impacts Sociétaux de l'IA Quantique et Régulation Efficace</w:t>
      </w:r>
    </w:p>
    <w:p w14:paraId="3DC660EC" w14:textId="77777777" w:rsidR="00FE0421" w:rsidRDefault="00FE0421" w:rsidP="00FE0421">
      <w:r>
        <w:t>Introduction</w:t>
      </w:r>
    </w:p>
    <w:p w14:paraId="7E811579" w14:textId="77777777" w:rsidR="00FE0421" w:rsidRDefault="00FE0421" w:rsidP="00FE0421">
      <w:r>
        <w:t>L'IA quantique représente une avancée technologique majeure qui pourrait transformer profondément notre société. Si la généralisation de cette technologie offre d'énormes opportunités, elle pose également des défis significatifs en termes de partage des richesses et de viabilité sociale. Alors que la mécanisation traditionnelle augmentait la productivité des travailleurs, l'IA quantique a le potentiel de remplacer complètement le travail humain dans de nombreux domaines. Cette partie examine les impacts sociétaux potentiels de l'IA quantique et propose des pistes pour une régulation efficace afin d'assurer une utilité sociale de cette technologie.</w:t>
      </w:r>
    </w:p>
    <w:p w14:paraId="3921B7B2" w14:textId="77777777" w:rsidR="00FE0421" w:rsidRDefault="00FE0421" w:rsidP="00FE0421"/>
    <w:p w14:paraId="5D910180" w14:textId="77777777" w:rsidR="00FE0421" w:rsidRDefault="00FE0421" w:rsidP="00FE0421">
      <w:r>
        <w:t>Impacts Sociétaux de l'IA Quantique</w:t>
      </w:r>
    </w:p>
    <w:p w14:paraId="1EF3838A" w14:textId="77777777" w:rsidR="00FE0421" w:rsidRDefault="00FE0421" w:rsidP="00FE0421">
      <w:r>
        <w:t>Remplacement du Travail Humain</w:t>
      </w:r>
    </w:p>
    <w:p w14:paraId="7F09F828" w14:textId="77777777" w:rsidR="00FE0421" w:rsidRDefault="00FE0421" w:rsidP="00FE0421">
      <w:r>
        <w:t>Avec la généralisation de l'IA quantique, une grande partie du travail humain pourrait être remplacée par des machines capables d'effectuer des tâches complexes avec une efficacité inégalée. Contrairement aux précédentes vagues de mécanisation, où les robots augmentaient la productivité des travailleurs sans les remplacer complètement, l'IA quantique pourrait conduire à une automatisation totale de nombreuses fonctions. Cela soulève des questions cruciales sur l'avenir du travail et le rôle des humains dans une société dominée par des machines intelligentes.</w:t>
      </w:r>
    </w:p>
    <w:p w14:paraId="3C820B1F" w14:textId="77777777" w:rsidR="00FE0421" w:rsidRDefault="00FE0421" w:rsidP="00FE0421"/>
    <w:p w14:paraId="63F17003" w14:textId="77777777" w:rsidR="00FE0421" w:rsidRDefault="00FE0421" w:rsidP="00FE0421">
      <w:r>
        <w:t>Redistribution des Richesses</w:t>
      </w:r>
    </w:p>
    <w:p w14:paraId="4063156E" w14:textId="77777777" w:rsidR="00FE0421" w:rsidRDefault="00FE0421" w:rsidP="00FE0421">
      <w:r>
        <w:t>Le remplacement massif du travail humain par des machines pourrait accentuer les inégalités économiques si les bénéfices de cette technologie restent concentrés entre les mains de quelques entreprises ou individus. Historiquement, les gains de productivité ont souvent conduit à une concentration accrue de la richesse, mais l'ampleur du changement apporté par l'IA quantique pourrait exacerber ce problème de manière significative.</w:t>
      </w:r>
    </w:p>
    <w:p w14:paraId="3439FDD8" w14:textId="77777777" w:rsidR="00FE0421" w:rsidRDefault="00FE0421" w:rsidP="00FE0421"/>
    <w:p w14:paraId="2FCC1BFD" w14:textId="77777777" w:rsidR="00FE0421" w:rsidRDefault="00FE0421" w:rsidP="00FE0421">
      <w:r>
        <w:t>Pour éviter une telle situation, il est essentiel de mettre en place des mécanismes de redistribution des richesses. Cela pourrait inclure des politiques fiscales plus progressives, des revenus de base universels, et des investissements dans l'éducation et la formation pour aider les travailleurs à s'adapter à un nouveau marché du travail.</w:t>
      </w:r>
    </w:p>
    <w:p w14:paraId="445A8E8E" w14:textId="77777777" w:rsidR="00FE0421" w:rsidRDefault="00FE0421" w:rsidP="00FE0421"/>
    <w:p w14:paraId="611BA8AA" w14:textId="77777777" w:rsidR="00FE0421" w:rsidRDefault="00FE0421" w:rsidP="00FE0421">
      <w:r>
        <w:t>Viabilité Sociale</w:t>
      </w:r>
    </w:p>
    <w:p w14:paraId="7D225BBE" w14:textId="77777777" w:rsidR="00FE0421" w:rsidRDefault="00FE0421" w:rsidP="00FE0421">
      <w:r>
        <w:t>La viabilité sociale dans une société où le travail humain est largement remplacé par des machines dépendra de notre capacité à redéfinir le rôle du travail et à garantir que tous les membres de la société puissent bénéficier des avancées technologiques. Une société viable devra trouver des moyens de donner un sens et une valeur à la vie humaine au-delà du travail rémunéré.</w:t>
      </w:r>
    </w:p>
    <w:p w14:paraId="2A268DFF" w14:textId="77777777" w:rsidR="00FE0421" w:rsidRDefault="00FE0421" w:rsidP="00FE0421"/>
    <w:p w14:paraId="242240C9" w14:textId="77777777" w:rsidR="00FE0421" w:rsidRDefault="00FE0421" w:rsidP="00FE0421">
      <w:r>
        <w:t>Vers une Régulation Efficace de l'IA Quantique</w:t>
      </w:r>
    </w:p>
    <w:p w14:paraId="511C2DFE" w14:textId="77777777" w:rsidR="00FE0421" w:rsidRDefault="00FE0421" w:rsidP="00FE0421">
      <w:r>
        <w:t>Utilité Sociale</w:t>
      </w:r>
    </w:p>
    <w:p w14:paraId="411D5459" w14:textId="77777777" w:rsidR="00FE0421" w:rsidRDefault="00FE0421" w:rsidP="00FE0421">
      <w:r>
        <w:t>Pour que l'IA quantique ait une utilité sociale et ne profite pas uniquement à des intérêts particuliers, une régulation efficace est nécessaire. Cette régulation doit s'assurer que les technologies de l'IA sont développées et utilisées de manière éthique, transparente et équitable. Les régulateurs devront travailler en étroite collaboration avec les développeurs de technologies, les entreprises, et la société civile pour créer des cadres qui encouragent l'innovation tout en protégeant les droits et les intérêts du public.</w:t>
      </w:r>
    </w:p>
    <w:p w14:paraId="1D39A377" w14:textId="77777777" w:rsidR="00FE0421" w:rsidRDefault="00FE0421" w:rsidP="00FE0421"/>
    <w:p w14:paraId="4740CA7F" w14:textId="77777777" w:rsidR="00FE0421" w:rsidRDefault="00FE0421" w:rsidP="00FE0421">
      <w:r>
        <w:t>Répartition Équitable des Bénéfices</w:t>
      </w:r>
    </w:p>
    <w:p w14:paraId="1BA541CE" w14:textId="77777777" w:rsidR="00FE0421" w:rsidRDefault="00FE0421" w:rsidP="00FE0421">
      <w:r>
        <w:t>Les politiques publiques doivent viser une répartition équitable des bénéfices de l'IA quantique. Cela pourrait inclure des incitations fiscales pour les entreprises qui investissent dans des technologies bénéfiques pour la société, des subventions pour la recherche publique, et des programmes de partage des bénéfices qui redistribuent les gains économiques à travers des investissements dans les infrastructures sociales.</w:t>
      </w:r>
    </w:p>
    <w:p w14:paraId="2DDA433E" w14:textId="77777777" w:rsidR="00FE0421" w:rsidRDefault="00FE0421" w:rsidP="00FE0421"/>
    <w:p w14:paraId="29527F56" w14:textId="77777777" w:rsidR="00FE0421" w:rsidRDefault="00FE0421" w:rsidP="00FE0421">
      <w:r>
        <w:t>Promotion de l'Emploi à Valeur Ajoutée</w:t>
      </w:r>
    </w:p>
    <w:p w14:paraId="5CEBC99A" w14:textId="77777777" w:rsidR="00FE0421" w:rsidRDefault="00FE0421" w:rsidP="00FE0421">
      <w:r>
        <w:t>Comme l'automatisation traditionnelle avait tendance à reclasser les travailleurs vers des emplois à plus forte valeur ajoutée, l'IA quantique pourrait également offrir de nouvelles opportunités. Les politiques doivent se concentrer sur la promotion de l'éducation continue et de la formation pour permettre aux travailleurs de s'adapter et de se déplacer vers des secteurs où l'interaction humaine et la créativité sont essentielles. En parallèle, encourager l'entrepreneuriat et l'innovation sociale peut créer de nouveaux types d'emplois et de services.</w:t>
      </w:r>
    </w:p>
    <w:p w14:paraId="5CA1FE19" w14:textId="77777777" w:rsidR="00FE0421" w:rsidRDefault="00FE0421" w:rsidP="00FE0421"/>
    <w:p w14:paraId="4D9DE72A" w14:textId="77777777" w:rsidR="00FE0421" w:rsidRDefault="00FE0421" w:rsidP="00FE0421">
      <w:r>
        <w:t>Conclusion</w:t>
      </w:r>
    </w:p>
    <w:p w14:paraId="273042A8" w14:textId="3DBA072E" w:rsidR="00FE0421" w:rsidRDefault="00FE0421" w:rsidP="00FE0421">
      <w:r>
        <w:t xml:space="preserve">L'IA quantique a le potentiel de transformer la société de manière profonde, offrant des gains d'efficacité et de productivité sans précédent. Cependant, pour que ces avantages soient partagés </w:t>
      </w:r>
      <w:r>
        <w:lastRenderedPageBreak/>
        <w:t>équitablement et contribuent à une société viable, une régulation efficace est indispensable. En mettant en place des politiques qui assurent une redistribution équitable des richesses, encouragent l'innovation éthique, et promeuvent l'emploi à valeur ajoutée, nous pouvons maximiser les bénéfices sociaux de l'IA quantique tout en minimisant ses risques.</w:t>
      </w:r>
    </w:p>
    <w:p w14:paraId="475A0BBD" w14:textId="77777777" w:rsidR="00683C19" w:rsidRDefault="00683C19" w:rsidP="00FE0421"/>
    <w:p w14:paraId="3312D129" w14:textId="77777777" w:rsidR="00683C19" w:rsidRDefault="00683C19" w:rsidP="00683C19"/>
    <w:p w14:paraId="73EED8B3" w14:textId="77777777" w:rsidR="00683C19" w:rsidRDefault="00683C19" w:rsidP="00683C19">
      <w:r>
        <w:t>Partie 2 ter : La Révolution Anthropologique de l’Intelligence Artificielle</w:t>
      </w:r>
    </w:p>
    <w:p w14:paraId="2CFC3DD2" w14:textId="77777777" w:rsidR="00683C19" w:rsidRDefault="00683C19" w:rsidP="00683C19">
      <w:r>
        <w:t xml:space="preserve">L'introduction de l'intelligence artificielle (IA) dans notre société marque une véritable révolution anthropologique, comparable en impact à celle de la révolution industrielle. L'ancien secrétaire d'État américain John Kerry, lors du salon </w:t>
      </w:r>
      <w:proofErr w:type="spellStart"/>
      <w:r>
        <w:t>VivaTech</w:t>
      </w:r>
      <w:proofErr w:type="spellEnd"/>
      <w:r>
        <w:t xml:space="preserve"> 2024, a affirmé que nous vivons actuellement le plus grand bouleversement de l'humanité depuis cette période historique. En effet, alors que les innovations précédentes se limitaient à améliorer la productivité des travailleurs humains, l'IA possède désormais la faculté de se substituer complètement à ces derniers. Ce changement fondamental provoque la disparition de certaines professions, souvent remplacées par des emplois nécessitant des compétences plus élevées.</w:t>
      </w:r>
    </w:p>
    <w:p w14:paraId="63DC5F41" w14:textId="77777777" w:rsidR="00683C19" w:rsidRDefault="00683C19" w:rsidP="00683C19"/>
    <w:p w14:paraId="183F22C6" w14:textId="77777777" w:rsidR="00683C19" w:rsidRDefault="00683C19" w:rsidP="00683C19">
      <w:r>
        <w:t>Opportunités de Redéfinir le Travail</w:t>
      </w:r>
    </w:p>
    <w:p w14:paraId="4925B775" w14:textId="77777777" w:rsidR="00683C19" w:rsidRDefault="00683C19" w:rsidP="00683C19">
      <w:r>
        <w:t>L’IA offre une opportunité sans précédent pour redéfinir la place du travail dans notre société. Traditionnellement, le travail a été perçu comme une contrainte financière nécessaire pour assurer sa subsistance. Cependant, avec l'automatisation croissante, nous avons la chance de transformer le travail en une activité plus épanouissante, centrée sur l'accomplissement personnel et la contribution significative à la société. Cette perspective ouvre la voie à une société des loisirs, où le bien-être et la réalisation personnelle deviennent accessibles à un plus grand nombre.</w:t>
      </w:r>
    </w:p>
    <w:p w14:paraId="46FBDFD1" w14:textId="77777777" w:rsidR="00683C19" w:rsidRDefault="00683C19" w:rsidP="00683C19"/>
    <w:p w14:paraId="47C6265F" w14:textId="77777777" w:rsidR="00683C19" w:rsidRDefault="00683C19" w:rsidP="00683C19">
      <w:r>
        <w:t>Les Risques d’Aliénation</w:t>
      </w:r>
    </w:p>
    <w:p w14:paraId="17BAF55D" w14:textId="77777777" w:rsidR="00683C19" w:rsidRDefault="00683C19" w:rsidP="00683C19">
      <w:r>
        <w:t>Cependant, l'intégration de l'IA à grande échelle comporte des risques importants, notamment celui de l'aliénation. Une généralisation mal contrôlée de l'IA pourrait entraîner une société semblable à celle décrite par Aldous Huxley dans "Le Meilleur des Mondes", où le bien-être matériel cache une satisfaction fétichiste et une flatterie excessive de nos instincts les plus bas. La technologie, au lieu d'émanciper l'humanité, pourrait renforcer des formes de domination et de contrôle si elle n'est pas régulée de manière adéquate.</w:t>
      </w:r>
    </w:p>
    <w:p w14:paraId="7916C0DB" w14:textId="77777777" w:rsidR="004B1988" w:rsidRDefault="004B1988" w:rsidP="00683C19"/>
    <w:p w14:paraId="07A9CEE4" w14:textId="77777777" w:rsidR="004B1988" w:rsidRDefault="004B1988" w:rsidP="004B1988">
      <w:r>
        <w:t>Solutions Concrètes pour une IA Gérée de Manière Éthique</w:t>
      </w:r>
    </w:p>
    <w:p w14:paraId="1872AEB0" w14:textId="77777777" w:rsidR="004B1988" w:rsidRDefault="004B1988" w:rsidP="004B1988">
      <w:r>
        <w:t>Pour éviter les dérives potentielles d'une IA mal gérée, il est crucial de définir son utilisation de manière démocratique. Cela implique la participation active et équitable de divers acteurs de la société, tant professionnels que citoyens.</w:t>
      </w:r>
    </w:p>
    <w:p w14:paraId="02A44FB6" w14:textId="77777777" w:rsidR="004B1988" w:rsidRDefault="004B1988" w:rsidP="004B1988"/>
    <w:p w14:paraId="7492AE50" w14:textId="77777777" w:rsidR="004B1988" w:rsidRDefault="004B1988" w:rsidP="004B1988">
      <w:r>
        <w:t>Inclusion des Professionnels de la Société Civile :</w:t>
      </w:r>
    </w:p>
    <w:p w14:paraId="3A3631EB" w14:textId="77777777" w:rsidR="004B1988" w:rsidRDefault="004B1988" w:rsidP="004B1988"/>
    <w:p w14:paraId="4C25E2B5" w14:textId="77777777" w:rsidR="004B1988" w:rsidRDefault="004B1988" w:rsidP="004B1988">
      <w:r>
        <w:lastRenderedPageBreak/>
        <w:t>Anthropologues et Sociologues : Pour analyser et anticiper les impacts sociaux et culturels de l'IA.</w:t>
      </w:r>
    </w:p>
    <w:p w14:paraId="64770787" w14:textId="77777777" w:rsidR="004B1988" w:rsidRDefault="004B1988" w:rsidP="004B1988">
      <w:r>
        <w:t>Économistes : Pour évaluer les conséquences économiques et proposer des modèles de redistribution des richesses.</w:t>
      </w:r>
    </w:p>
    <w:p w14:paraId="4568B4B6" w14:textId="77777777" w:rsidR="004B1988" w:rsidRDefault="004B1988" w:rsidP="004B1988">
      <w:r>
        <w:t>Philosophes et Éthiciens : Pour garantir que le développement de l'IA respecte les valeurs humaines fondamentales.</w:t>
      </w:r>
    </w:p>
    <w:p w14:paraId="5CE98ED2" w14:textId="77777777" w:rsidR="004B1988" w:rsidRDefault="004B1988" w:rsidP="004B1988">
      <w:r>
        <w:t>Fonctionnaires en Administration Publique : Pour intégrer l'IA de manière cohérente dans les politiques publiques.</w:t>
      </w:r>
    </w:p>
    <w:p w14:paraId="0718ECED" w14:textId="77777777" w:rsidR="004B1988" w:rsidRDefault="004B1988" w:rsidP="004B1988">
      <w:r>
        <w:t>Engagement des Acteurs Citoyens :</w:t>
      </w:r>
    </w:p>
    <w:p w14:paraId="62460362" w14:textId="77777777" w:rsidR="004B1988" w:rsidRDefault="004B1988" w:rsidP="004B1988"/>
    <w:p w14:paraId="32FCA4CA" w14:textId="77777777" w:rsidR="004B1988" w:rsidRDefault="004B1988" w:rsidP="004B1988">
      <w:r>
        <w:t>Élus et Représentants Politiques : Pour légiférer et encadrer l'usage de l'IA de manière transparente et responsable.</w:t>
      </w:r>
    </w:p>
    <w:p w14:paraId="214A9939" w14:textId="77777777" w:rsidR="004B1988" w:rsidRDefault="004B1988" w:rsidP="004B1988">
      <w:r>
        <w:t>Militants et Partenaires Sociaux : Pour défendre les intérêts des travailleurs et des citoyens dans le processus de transformation induit par l'IA.</w:t>
      </w:r>
    </w:p>
    <w:p w14:paraId="45E4F041" w14:textId="77777777" w:rsidR="004B1988" w:rsidRDefault="004B1988" w:rsidP="004B1988">
      <w:r>
        <w:t>Partis d’Opposition et au Pouvoir : Pour garantir un débat équilibré et inclusif sur les orientations à prendre.</w:t>
      </w:r>
    </w:p>
    <w:p w14:paraId="7AE1D190" w14:textId="77777777" w:rsidR="004B1988" w:rsidRDefault="004B1988" w:rsidP="004B1988">
      <w:r>
        <w:t>Élus Locaux : Pour adapter les politiques d'IA aux spécificités des territoires et assurer une mise en œuvre locale adéquate.</w:t>
      </w:r>
    </w:p>
    <w:p w14:paraId="44318D5B" w14:textId="77777777" w:rsidR="004B1988" w:rsidRDefault="004B1988" w:rsidP="004B1988">
      <w:r>
        <w:t>Création de Commissions Consultatives et Délibératives :</w:t>
      </w:r>
    </w:p>
    <w:p w14:paraId="3C08A244" w14:textId="77777777" w:rsidR="004B1988" w:rsidRDefault="004B1988" w:rsidP="004B1988"/>
    <w:p w14:paraId="3245EC1C" w14:textId="77777777" w:rsidR="004B1988" w:rsidRDefault="004B1988" w:rsidP="004B1988">
      <w:r>
        <w:t>Commissions Mixtes : Composées de professionnels et de citoyens, ces commissions auraient pour rôle de débattre, conseiller et orienter les politiques publiques concernant l'IA.</w:t>
      </w:r>
    </w:p>
    <w:p w14:paraId="3F7FCD1B" w14:textId="77777777" w:rsidR="004B1988" w:rsidRDefault="004B1988" w:rsidP="004B1988">
      <w:r>
        <w:t>Consultations Citoyennes : Organisation régulière de consultations et forums citoyens pour recueillir les avis et préoccupations du public sur les développements de l'IA.</w:t>
      </w:r>
    </w:p>
    <w:p w14:paraId="24EC63F8" w14:textId="77777777" w:rsidR="004B1988" w:rsidRDefault="004B1988" w:rsidP="004B1988">
      <w:r>
        <w:t>Observatoires de l’IA : Mise en place d’observatoires indépendants pour surveiller et évaluer les impacts de l’IA sur la société et proposer des ajustements nécessaires.</w:t>
      </w:r>
    </w:p>
    <w:p w14:paraId="1BC3EECC" w14:textId="77777777" w:rsidR="004B1988" w:rsidRDefault="004B1988" w:rsidP="004B1988">
      <w:r>
        <w:t>Éducation et Sensibilisation :</w:t>
      </w:r>
    </w:p>
    <w:p w14:paraId="46ACC972" w14:textId="77777777" w:rsidR="004B1988" w:rsidRDefault="004B1988" w:rsidP="004B1988"/>
    <w:p w14:paraId="6DB9033C" w14:textId="77777777" w:rsidR="004B1988" w:rsidRDefault="004B1988" w:rsidP="004B1988">
      <w:r>
        <w:t>Programmes Éducatifs : Développer des programmes éducatifs pour sensibiliser le public aux enjeux de l'IA et encourager une culture technologique responsable.</w:t>
      </w:r>
    </w:p>
    <w:p w14:paraId="62F69FAD" w14:textId="6DBE196B" w:rsidR="004B1988" w:rsidRDefault="004B1988" w:rsidP="004B1988">
      <w:r>
        <w:t>Formation Continue : Offrir des formations continues pour permettre aux travailleurs de s’adapter aux transformations induites par l’IA et de se reconvertir vers des secteurs à forte valeur ajoutée humaine.</w:t>
      </w:r>
    </w:p>
    <w:p w14:paraId="7A63A502" w14:textId="77777777" w:rsidR="00683C19" w:rsidRDefault="00683C19" w:rsidP="00683C19"/>
    <w:p w14:paraId="5BBE2EB8" w14:textId="77777777" w:rsidR="00683C19" w:rsidRDefault="00683C19" w:rsidP="00683C19">
      <w:r>
        <w:t>Conclusion</w:t>
      </w:r>
    </w:p>
    <w:p w14:paraId="4815DA33" w14:textId="2A131F63" w:rsidR="00683C19" w:rsidRDefault="00683C19" w:rsidP="00683C19">
      <w:r>
        <w:t xml:space="preserve">La révolution anthropologique induite par l'intelligence artificielle est à la fois porteuse de promesses et de dangers. Elle a le potentiel de transformer radicalement notre rapport au travail et de nous </w:t>
      </w:r>
      <w:r>
        <w:lastRenderedPageBreak/>
        <w:t>rapprocher d'une société des loisirs, mais elle requiert une régulation rigoureuse pour éviter les dérives et garantir que ses bénéfices soient équitablement partagés. La réflexion éthique et sociétale sur l’IA est donc cruciale pour façonner un avenir où cette technologie servira véritablement l'humanité.</w:t>
      </w:r>
    </w:p>
    <w:sectPr w:rsidR="00683C19">
      <w:footerReference w:type="even" r:id="rId6"/>
      <w:footerReference w:type="default" r:id="rId7"/>
      <w:footerReference w:type="firs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3268" w14:textId="77777777" w:rsidR="00E60F35" w:rsidRDefault="00E60F35" w:rsidP="00187A61">
      <w:pPr>
        <w:spacing w:after="0" w:line="240" w:lineRule="auto"/>
      </w:pPr>
      <w:r>
        <w:separator/>
      </w:r>
    </w:p>
  </w:endnote>
  <w:endnote w:type="continuationSeparator" w:id="0">
    <w:p w14:paraId="4563EA8B" w14:textId="77777777" w:rsidR="00E60F35" w:rsidRDefault="00E60F35" w:rsidP="0018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594C" w14:textId="368F83FC" w:rsidR="00187A61" w:rsidRDefault="00187A61">
    <w:pPr>
      <w:pStyle w:val="Pieddepage"/>
    </w:pPr>
    <w:r>
      <w:rPr>
        <w:noProof/>
      </w:rPr>
      <mc:AlternateContent>
        <mc:Choice Requires="wps">
          <w:drawing>
            <wp:anchor distT="0" distB="0" distL="0" distR="0" simplePos="0" relativeHeight="251659264" behindDoc="0" locked="0" layoutInCell="1" allowOverlap="1" wp14:anchorId="3AC72EB1" wp14:editId="140196F6">
              <wp:simplePos x="635" y="635"/>
              <wp:positionH relativeFrom="page">
                <wp:align>center</wp:align>
              </wp:positionH>
              <wp:positionV relativeFrom="page">
                <wp:align>bottom</wp:align>
              </wp:positionV>
              <wp:extent cx="443865" cy="443865"/>
              <wp:effectExtent l="0" t="0" r="12065" b="0"/>
              <wp:wrapNone/>
              <wp:docPr id="2" name="Zone de texte 2" descr="C3 - Sensibl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EFCA1F" w14:textId="5129F87A"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C72EB1" id="_x0000_t202" coordsize="21600,21600" o:spt="202" path="m,l,21600r21600,l21600,xe">
              <v:stroke joinstyle="miter"/>
              <v:path gradientshapeok="t" o:connecttype="rect"/>
            </v:shapetype>
            <v:shape id="Zone de texte 2" o:spid="_x0000_s1026" type="#_x0000_t202" alt="C3 - Sensibl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3EFCA1F" w14:textId="5129F87A"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ADB1" w14:textId="21E76D84" w:rsidR="00187A61" w:rsidRDefault="00187A61">
    <w:pPr>
      <w:pStyle w:val="Pieddepage"/>
    </w:pPr>
    <w:r>
      <w:rPr>
        <w:noProof/>
      </w:rPr>
      <mc:AlternateContent>
        <mc:Choice Requires="wps">
          <w:drawing>
            <wp:anchor distT="0" distB="0" distL="0" distR="0" simplePos="0" relativeHeight="251660288" behindDoc="0" locked="0" layoutInCell="1" allowOverlap="1" wp14:anchorId="466118B3" wp14:editId="5E97E761">
              <wp:simplePos x="900820" y="10071980"/>
              <wp:positionH relativeFrom="page">
                <wp:align>center</wp:align>
              </wp:positionH>
              <wp:positionV relativeFrom="page">
                <wp:align>bottom</wp:align>
              </wp:positionV>
              <wp:extent cx="443865" cy="443865"/>
              <wp:effectExtent l="0" t="0" r="12065" b="0"/>
              <wp:wrapNone/>
              <wp:docPr id="3" name="Zone de texte 3" descr="C3 - Sensibl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B06D4E" w14:textId="335E3289"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6118B3" id="_x0000_t202" coordsize="21600,21600" o:spt="202" path="m,l,21600r21600,l21600,xe">
              <v:stroke joinstyle="miter"/>
              <v:path gradientshapeok="t" o:connecttype="rect"/>
            </v:shapetype>
            <v:shape id="Zone de texte 3" o:spid="_x0000_s1027" type="#_x0000_t202" alt="C3 - Sensibl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8B06D4E" w14:textId="335E3289"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CA32" w14:textId="6F7643E5" w:rsidR="00187A61" w:rsidRDefault="00187A61">
    <w:pPr>
      <w:pStyle w:val="Pieddepage"/>
    </w:pPr>
    <w:r>
      <w:rPr>
        <w:noProof/>
      </w:rPr>
      <mc:AlternateContent>
        <mc:Choice Requires="wps">
          <w:drawing>
            <wp:anchor distT="0" distB="0" distL="0" distR="0" simplePos="0" relativeHeight="251658240" behindDoc="0" locked="0" layoutInCell="1" allowOverlap="1" wp14:anchorId="2717A9F8" wp14:editId="46F628CC">
              <wp:simplePos x="635" y="635"/>
              <wp:positionH relativeFrom="page">
                <wp:align>center</wp:align>
              </wp:positionH>
              <wp:positionV relativeFrom="page">
                <wp:align>bottom</wp:align>
              </wp:positionV>
              <wp:extent cx="443865" cy="443865"/>
              <wp:effectExtent l="0" t="0" r="12065" b="0"/>
              <wp:wrapNone/>
              <wp:docPr id="1" name="Zone de texte 1" descr="C3 - Sensibl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B401D4" w14:textId="51B716E7"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717A9F8" id="_x0000_t202" coordsize="21600,21600" o:spt="202" path="m,l,21600r21600,l21600,xe">
              <v:stroke joinstyle="miter"/>
              <v:path gradientshapeok="t" o:connecttype="rect"/>
            </v:shapetype>
            <v:shape id="Zone de texte 1" o:spid="_x0000_s1028" type="#_x0000_t202" alt="C3 - Sensibl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1B401D4" w14:textId="51B716E7"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8247E" w14:textId="77777777" w:rsidR="00E60F35" w:rsidRDefault="00E60F35" w:rsidP="00187A61">
      <w:pPr>
        <w:spacing w:after="0" w:line="240" w:lineRule="auto"/>
      </w:pPr>
      <w:r>
        <w:separator/>
      </w:r>
    </w:p>
  </w:footnote>
  <w:footnote w:type="continuationSeparator" w:id="0">
    <w:p w14:paraId="17A4B40F" w14:textId="77777777" w:rsidR="00E60F35" w:rsidRDefault="00E60F35" w:rsidP="00187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61"/>
    <w:rsid w:val="00044389"/>
    <w:rsid w:val="000538C4"/>
    <w:rsid w:val="00187A61"/>
    <w:rsid w:val="002109AF"/>
    <w:rsid w:val="002903B9"/>
    <w:rsid w:val="00402453"/>
    <w:rsid w:val="004B1988"/>
    <w:rsid w:val="00683C19"/>
    <w:rsid w:val="00D25B29"/>
    <w:rsid w:val="00E37269"/>
    <w:rsid w:val="00E60F35"/>
    <w:rsid w:val="00ED0A1B"/>
    <w:rsid w:val="00FE04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EC54"/>
  <w15:chartTrackingRefBased/>
  <w15:docId w15:val="{C87E0C45-D398-43ED-A4BD-DB7AB494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187A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3267</Words>
  <Characters>17969</Characters>
  <Application>Microsoft Office Word</Application>
  <DocSecurity>0</DocSecurity>
  <Lines>149</Lines>
  <Paragraphs>42</Paragraphs>
  <ScaleCrop>false</ScaleCrop>
  <Company>Ministeres Sociaux</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NAKHIL, Amine (DNUM/SDPSN/TRV)</dc:creator>
  <cp:keywords/>
  <dc:description/>
  <cp:lastModifiedBy>NAKHIL, Amine (DNUM/SDPSN/TRV)</cp:lastModifiedBy>
  <cp:revision>5</cp:revision>
  <dcterms:created xsi:type="dcterms:W3CDTF">2024-05-24T08:38:00Z</dcterms:created>
  <dcterms:modified xsi:type="dcterms:W3CDTF">2024-05-28T09:12:00Z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C3 - Sensible</vt:lpwstr>
  </property>
  <property fmtid="{D5CDD505-2E9C-101B-9397-08002B2CF9AE}" pid="5" name="MSIP_Label_84a755f0-ee11-4e51-8b3a-e314a53a997c_Enabled">
    <vt:lpwstr>true</vt:lpwstr>
  </property>
  <property fmtid="{D5CDD505-2E9C-101B-9397-08002B2CF9AE}" pid="6" name="MSIP_Label_84a755f0-ee11-4e51-8b3a-e314a53a997c_SetDate">
    <vt:lpwstr>2024-05-24T08:38:25Z</vt:lpwstr>
  </property>
  <property fmtid="{D5CDD505-2E9C-101B-9397-08002B2CF9AE}" pid="7" name="MSIP_Label_84a755f0-ee11-4e51-8b3a-e314a53a997c_Method">
    <vt:lpwstr>Privileged</vt:lpwstr>
  </property>
  <property fmtid="{D5CDD505-2E9C-101B-9397-08002B2CF9AE}" pid="8" name="MSIP_Label_84a755f0-ee11-4e51-8b3a-e314a53a997c_Name">
    <vt:lpwstr>[Prod v4] Mention "C3 - Sensible" - sans chiffrement</vt:lpwstr>
  </property>
  <property fmtid="{D5CDD505-2E9C-101B-9397-08002B2CF9AE}" pid="9" name="MSIP_Label_84a755f0-ee11-4e51-8b3a-e314a53a997c_SiteId">
    <vt:lpwstr>035e5292-5a25-4509-bb08-a555f7d31a8b</vt:lpwstr>
  </property>
  <property fmtid="{D5CDD505-2E9C-101B-9397-08002B2CF9AE}" pid="10" name="MSIP_Label_84a755f0-ee11-4e51-8b3a-e314a53a997c_ActionId">
    <vt:lpwstr>c5a23135-5575-4b65-8417-92687c319ce9</vt:lpwstr>
  </property>
  <property fmtid="{D5CDD505-2E9C-101B-9397-08002B2CF9AE}" pid="11" name="MSIP_Label_84a755f0-ee11-4e51-8b3a-e314a53a997c_ContentBits">
    <vt:lpwstr>2</vt:lpwstr>
  </property>
</Properties>
</file>