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w:t>
      </w:r>
      <w:proofErr w:type="spellStart"/>
      <w:r>
        <w:t>Manager_User</w:t>
      </w:r>
      <w:proofErr w:type="spellEnd"/>
      <w:r>
        <w:t>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 « email » et « </w:t>
      </w:r>
      <w:proofErr w:type="spellStart"/>
      <w:r w:rsidR="00C21846">
        <w:t>mdp</w:t>
      </w:r>
      <w:proofErr w:type="spellEnd"/>
      <w:r w:rsidR="00C21846">
        <w:t xml:space="preserve">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2D979E40"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w:t>
      </w:r>
      <w:proofErr w:type="spellStart"/>
      <w:r w:rsidR="005D3226">
        <w:t>Objects</w:t>
      </w:r>
      <w:proofErr w:type="spellEnd"/>
      <w:r w:rsidR="005D3226">
        <w:t xml:space="preserve">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w:t>
      </w:r>
      <w:proofErr w:type="spellStart"/>
      <w:r w:rsidR="00851B18">
        <w:t>projet_lycee</w:t>
      </w:r>
      <w:proofErr w:type="spellEnd"/>
      <w:r w:rsidR="00851B18">
        <w:t>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w:t>
      </w:r>
      <w:proofErr w:type="spellStart"/>
      <w:r w:rsidR="00851B18">
        <w:t>root</w:t>
      </w:r>
      <w:proofErr w:type="spellEnd"/>
      <w:r w:rsidR="00851B18">
        <w:t> » et avec un mot de passe blanc.</w:t>
      </w:r>
      <w:r w:rsidR="00191743">
        <w:t xml:space="preserve"> Au sein de la ligne suivante, on prépare la </w:t>
      </w:r>
      <w:r w:rsidR="007B5AD8">
        <w:t>requête</w:t>
      </w:r>
      <w:bookmarkStart w:id="0" w:name="_GoBack"/>
      <w:bookmarkEnd w:id="0"/>
      <w:r w:rsidR="00191743">
        <w:t xml:space="preserve"> qui va </w:t>
      </w:r>
      <w:r w:rsidR="007B5AD8">
        <w:t>interroger</w:t>
      </w:r>
      <w:r w:rsidR="00191743">
        <w:t xml:space="preserve"> la base de données dans laquelle on communique la </w:t>
      </w:r>
      <w:r w:rsidR="007B5AD8">
        <w:t>requête</w:t>
      </w:r>
      <w:r w:rsidR="00191743">
        <w:t xml:space="preserve"> en langage SQL. Notre commande permet d’afficher dans la table « utilisateur » toutes les lignes </w:t>
      </w:r>
      <w:r w:rsidR="007B5AD8">
        <w:t>parmi</w:t>
      </w:r>
      <w:r w:rsidR="00191743">
        <w:t xml:space="preserve"> lesquelles la variable « email » est semblable à la colonne « email » de la base.</w:t>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7D455" w14:textId="77777777" w:rsidR="00536B83" w:rsidRDefault="00536B83" w:rsidP="00307692">
      <w:r>
        <w:separator/>
      </w:r>
    </w:p>
  </w:endnote>
  <w:endnote w:type="continuationSeparator" w:id="0">
    <w:p w14:paraId="5D906E4F" w14:textId="77777777" w:rsidR="00536B83" w:rsidRDefault="00536B8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B57AA" w14:textId="77777777" w:rsidR="00536B83" w:rsidRDefault="00536B83" w:rsidP="00307692">
      <w:r>
        <w:separator/>
      </w:r>
    </w:p>
  </w:footnote>
  <w:footnote w:type="continuationSeparator" w:id="0">
    <w:p w14:paraId="3BF79BE8" w14:textId="77777777" w:rsidR="00536B83" w:rsidRDefault="00536B8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91743"/>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61465"/>
    <w:rsid w:val="00472FC1"/>
    <w:rsid w:val="0051572E"/>
    <w:rsid w:val="00533C8D"/>
    <w:rsid w:val="00536B83"/>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1357</Words>
  <Characters>7465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