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 xml:space="preserve">Développement d’un site web </w:t>
            </w:r>
            <w:r w:rsidR="00BC26F0">
              <w:rPr>
                <w:rFonts w:ascii="Arial" w:eastAsia="Arial" w:hAnsi="Arial" w:cs="Arial"/>
                <w:bCs/>
                <w:sz w:val="20"/>
                <w:szCs w:val="20"/>
              </w:rPr>
              <w:t xml:space="preserve">PHP </w:t>
            </w:r>
            <w:r w:rsidRPr="00D5446A">
              <w:rPr>
                <w:rFonts w:ascii="Arial" w:eastAsia="Arial" w:hAnsi="Arial" w:cs="Arial"/>
                <w:bCs/>
                <w:sz w:val="20"/>
                <w:szCs w:val="20"/>
              </w:rPr>
              <w:t>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2 ,</w:t>
            </w:r>
            <w:proofErr w:type="gramEnd"/>
            <w:r>
              <w:rPr>
                <w:rFonts w:ascii="Arial" w:hAnsi="Arial" w:cs="Arial"/>
                <w:sz w:val="20"/>
                <w:szCs w:val="20"/>
              </w:rPr>
              <w:t xml:space="preserve">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3 ,</w:t>
            </w:r>
            <w:proofErr w:type="gramEnd"/>
            <w:r>
              <w:rPr>
                <w:rFonts w:ascii="Arial" w:hAnsi="Arial" w:cs="Arial"/>
                <w:sz w:val="20"/>
                <w:szCs w:val="20"/>
              </w:rPr>
              <w:t xml:space="preserve">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3 ,</w:t>
            </w:r>
            <w:proofErr w:type="gramEnd"/>
            <w:r>
              <w:rPr>
                <w:rFonts w:ascii="Arial" w:hAnsi="Arial" w:cs="Arial"/>
                <w:sz w:val="20"/>
                <w:szCs w:val="20"/>
              </w:rPr>
              <w:t xml:space="preserve">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1 ,</w:t>
            </w:r>
            <w:proofErr w:type="gramEnd"/>
            <w:r>
              <w:rPr>
                <w:rFonts w:ascii="Arial" w:hAnsi="Arial" w:cs="Arial"/>
                <w:sz w:val="20"/>
                <w:szCs w:val="20"/>
              </w:rPr>
              <w:t xml:space="preserve">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2 ,</w:t>
            </w:r>
            <w:proofErr w:type="gramEnd"/>
            <w:r>
              <w:rPr>
                <w:rFonts w:ascii="Arial" w:hAnsi="Arial" w:cs="Arial"/>
                <w:sz w:val="20"/>
                <w:szCs w:val="20"/>
              </w:rPr>
              <w:t xml:space="preserve">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2 ,</w:t>
            </w:r>
            <w:proofErr w:type="gramEnd"/>
            <w:r>
              <w:rPr>
                <w:rFonts w:ascii="Arial" w:hAnsi="Arial" w:cs="Arial"/>
                <w:sz w:val="20"/>
                <w:szCs w:val="20"/>
              </w:rPr>
              <w:t xml:space="preserve">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7 ,</w:t>
            </w:r>
            <w:proofErr w:type="gramEnd"/>
            <w:r>
              <w:rPr>
                <w:rFonts w:ascii="Arial" w:hAnsi="Arial" w:cs="Arial"/>
                <w:sz w:val="20"/>
                <w:szCs w:val="20"/>
              </w:rPr>
              <w:t xml:space="preserve">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8 ,</w:t>
            </w:r>
            <w:proofErr w:type="gramEnd"/>
            <w:r>
              <w:rPr>
                <w:rFonts w:ascii="Arial" w:hAnsi="Arial" w:cs="Arial"/>
                <w:sz w:val="20"/>
                <w:szCs w:val="20"/>
              </w:rPr>
              <w:t xml:space="preserve">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2 ,</w:t>
            </w:r>
            <w:proofErr w:type="gramEnd"/>
            <w:r>
              <w:rPr>
                <w:rFonts w:ascii="Arial" w:hAnsi="Arial" w:cs="Arial"/>
                <w:sz w:val="20"/>
                <w:szCs w:val="20"/>
              </w:rPr>
              <w:t xml:space="preserve">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4 ,</w:t>
            </w:r>
            <w:proofErr w:type="gramEnd"/>
            <w:r>
              <w:rPr>
                <w:rFonts w:ascii="Arial" w:hAnsi="Arial" w:cs="Arial"/>
                <w:sz w:val="20"/>
                <w:szCs w:val="20"/>
              </w:rPr>
              <w:t xml:space="preserve">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1 ,</w:t>
            </w:r>
            <w:proofErr w:type="gramEnd"/>
            <w:r>
              <w:rPr>
                <w:rFonts w:ascii="Arial" w:hAnsi="Arial" w:cs="Arial"/>
                <w:sz w:val="20"/>
                <w:szCs w:val="20"/>
              </w:rPr>
              <w:t xml:space="preserve">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2 ,</w:t>
            </w:r>
            <w:proofErr w:type="gramEnd"/>
            <w:r>
              <w:rPr>
                <w:rFonts w:ascii="Arial" w:hAnsi="Arial" w:cs="Arial"/>
                <w:sz w:val="20"/>
                <w:szCs w:val="20"/>
              </w:rPr>
              <w:t xml:space="preserve">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 xml:space="preserve">Windows 10,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PHP 7.2.18, MySQL 5.7.1</w:t>
            </w:r>
            <w:r w:rsidR="002256D9">
              <w:rPr>
                <w:rFonts w:ascii="Arial" w:eastAsia="Arial" w:hAnsi="Arial" w:cs="Arial"/>
                <w:b/>
                <w:sz w:val="20"/>
              </w:rPr>
              <w:t>, GIT</w:t>
            </w:r>
            <w:r w:rsidR="00BC26F0">
              <w:rPr>
                <w:rFonts w:ascii="Arial" w:eastAsia="Arial" w:hAnsi="Arial" w:cs="Arial"/>
                <w:b/>
                <w:sz w:val="20"/>
              </w:rPr>
              <w:t xml:space="preserve"> 2.30.1, GITHUB 2.6.3</w:t>
            </w:r>
            <w:r>
              <w:rPr>
                <w:rFonts w:ascii="Arial" w:eastAsia="Arial" w:hAnsi="Arial" w:cs="Arial"/>
                <w:b/>
                <w:sz w:val="20"/>
              </w:rPr>
              <w:t xml:space="preserve">, CSS3, HTML 5, </w:t>
            </w:r>
            <w:proofErr w:type="spellStart"/>
            <w:r>
              <w:rPr>
                <w:rFonts w:ascii="Arial" w:eastAsia="Arial" w:hAnsi="Arial" w:cs="Arial"/>
                <w:b/>
                <w:sz w:val="20"/>
              </w:rPr>
              <w:t>Atom</w:t>
            </w:r>
            <w:proofErr w:type="spellEnd"/>
            <w:r w:rsidR="00BC26F0">
              <w:rPr>
                <w:rFonts w:ascii="Arial" w:eastAsia="Arial" w:hAnsi="Arial" w:cs="Arial"/>
                <w:b/>
                <w:sz w:val="20"/>
              </w:rPr>
              <w:t xml:space="preserve"> 1.5.4, Gantt 2.1.10</w:t>
            </w:r>
            <w:proofErr w:type="gramStart"/>
            <w:r w:rsidR="00BC26F0">
              <w:rPr>
                <w:rFonts w:ascii="Arial" w:eastAsia="Arial" w:hAnsi="Arial" w:cs="Arial"/>
                <w:b/>
                <w:sz w:val="20"/>
              </w:rPr>
              <w:t>,</w:t>
            </w:r>
            <w:r w:rsidRPr="002256D9">
              <w:rPr>
                <w:rFonts w:ascii="Arial" w:eastAsia="Arial" w:hAnsi="Arial" w:cs="Arial"/>
                <w:b/>
                <w:sz w:val="20"/>
              </w:rPr>
              <w:t xml:space="preserve">  </w:t>
            </w:r>
            <w:r w:rsidR="002256D9" w:rsidRPr="002256D9">
              <w:rPr>
                <w:rFonts w:ascii="Arial" w:eastAsia="Arial" w:hAnsi="Arial" w:cs="Arial"/>
                <w:b/>
                <w:sz w:val="20"/>
              </w:rPr>
              <w:t>PHP</w:t>
            </w:r>
            <w:proofErr w:type="gramEnd"/>
            <w:r w:rsidR="002256D9" w:rsidRPr="002256D9">
              <w:rPr>
                <w:rFonts w:ascii="Arial" w:eastAsia="Arial" w:hAnsi="Arial" w:cs="Arial"/>
                <w:b/>
                <w:sz w:val="20"/>
              </w:rPr>
              <w:t xml:space="preserve"> Mailer</w:t>
            </w:r>
            <w:r w:rsidRPr="002256D9">
              <w:rPr>
                <w:rFonts w:ascii="Arial" w:eastAsia="Arial" w:hAnsi="Arial" w:cs="Arial"/>
                <w:b/>
                <w:sz w:val="20"/>
              </w:rPr>
              <w:t xml:space="preserve"> 6.1.7</w:t>
            </w:r>
            <w:r w:rsidR="002256D9" w:rsidRPr="002256D9">
              <w:rPr>
                <w:rFonts w:ascii="Arial" w:eastAsia="Arial" w:hAnsi="Arial" w:cs="Arial"/>
                <w:b/>
                <w:sz w:val="20"/>
              </w:rPr>
              <w:t xml:space="preserve">, JavaScript, </w:t>
            </w:r>
            <w:proofErr w:type="spellStart"/>
            <w:r w:rsidR="002256D9" w:rsidRPr="002256D9">
              <w:rPr>
                <w:rFonts w:ascii="Arial" w:eastAsia="Arial" w:hAnsi="Arial" w:cs="Arial"/>
                <w:b/>
                <w:sz w:val="20"/>
              </w:rPr>
              <w:t>PHPStorm</w:t>
            </w:r>
            <w:proofErr w:type="spellEnd"/>
            <w:r w:rsidR="002256D9" w:rsidRPr="002256D9">
              <w:rPr>
                <w:rFonts w:ascii="Arial" w:eastAsia="Arial" w:hAnsi="Arial" w:cs="Arial"/>
                <w:b/>
                <w:sz w:val="20"/>
              </w:rPr>
              <w:t xml:space="preserve"> 2020.3.2, </w:t>
            </w:r>
            <w:proofErr w:type="spellStart"/>
            <w:r w:rsidR="002256D9" w:rsidRPr="002256D9">
              <w:rPr>
                <w:rFonts w:ascii="Arial" w:eastAsia="Arial" w:hAnsi="Arial" w:cs="Arial"/>
                <w:b/>
                <w:sz w:val="20"/>
              </w:rPr>
              <w:t>Bootstrap</w:t>
            </w:r>
            <w:proofErr w:type="spellEnd"/>
            <w:r w:rsidR="002256D9" w:rsidRPr="002256D9">
              <w:rPr>
                <w:rFonts w:ascii="Arial" w:eastAsia="Arial" w:hAnsi="Arial" w:cs="Arial"/>
                <w:b/>
                <w:sz w:val="20"/>
              </w:rPr>
              <w:t xml:space="preserve"> v4.0.0-beta, hyper-v 8.0</w:t>
            </w:r>
            <w:r w:rsidR="00BC26F0">
              <w:rPr>
                <w:rFonts w:ascii="Arial" w:eastAsia="Arial" w:hAnsi="Arial" w:cs="Arial"/>
                <w:b/>
                <w:sz w:val="20"/>
              </w:rPr>
              <w:t xml:space="preserve">, </w:t>
            </w:r>
            <w:proofErr w:type="spellStart"/>
            <w:r w:rsidR="00BC26F0">
              <w:rPr>
                <w:rFonts w:ascii="Arial" w:eastAsia="Arial" w:hAnsi="Arial" w:cs="Arial"/>
                <w:b/>
                <w:sz w:val="20"/>
              </w:rPr>
              <w:t>debian</w:t>
            </w:r>
            <w:proofErr w:type="spellEnd"/>
            <w:r w:rsidR="00BC26F0">
              <w:rPr>
                <w:rFonts w:ascii="Arial" w:eastAsia="Arial" w:hAnsi="Arial" w:cs="Arial"/>
                <w:b/>
                <w:sz w:val="20"/>
              </w:rPr>
              <w:t xml:space="preserve"> 10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 xml:space="preserve">Les productions associées sont </w:t>
            </w:r>
            <w:proofErr w:type="spellStart"/>
            <w:r>
              <w:rPr>
                <w:rFonts w:ascii="Arial" w:eastAsia="Arial" w:hAnsi="Arial" w:cs="Arial"/>
                <w:b/>
                <w:sz w:val="20"/>
              </w:rPr>
              <w:t>Github</w:t>
            </w:r>
            <w:proofErr w:type="spellEnd"/>
            <w:r>
              <w:rPr>
                <w:rFonts w:ascii="Arial" w:eastAsia="Arial" w:hAnsi="Arial" w:cs="Arial"/>
                <w:b/>
                <w:sz w:val="20"/>
              </w:rPr>
              <w:t>, les diagrammes UML, Git, SQL</w:t>
            </w:r>
            <w:r w:rsidR="00BC26F0">
              <w:rPr>
                <w:rFonts w:ascii="Arial" w:eastAsia="Arial" w:hAnsi="Arial" w:cs="Arial"/>
                <w:b/>
                <w:sz w:val="20"/>
              </w:rPr>
              <w:t xml:space="preserve">, documentation </w:t>
            </w:r>
            <w:r>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D5446A">
            <w:pPr>
              <w:spacing w:after="668"/>
              <w:rPr>
                <w:rFonts w:ascii="Arial" w:eastAsia="Arial" w:hAnsi="Arial" w:cs="Arial"/>
                <w:b/>
                <w:sz w:val="20"/>
              </w:rPr>
            </w:pPr>
            <w:r w:rsidRPr="00D5446A">
              <w:rPr>
                <w:rFonts w:ascii="Arial" w:eastAsia="Arial" w:hAnsi="Arial" w:cs="Arial"/>
                <w:b/>
                <w:sz w:val="20"/>
              </w:rPr>
              <w:t>https://github.com/Amine372/site-lyc-e.git</w:t>
            </w:r>
          </w:p>
          <w:p w:rsidR="00715E51" w:rsidRPr="00715E51" w:rsidRDefault="00715E51">
            <w:pPr>
              <w:spacing w:after="668"/>
            </w:pPr>
            <w:r>
              <w:rPr>
                <w:rFonts w:ascii="Arial" w:eastAsia="Arial" w:hAnsi="Arial" w:cs="Arial"/>
                <w:b/>
                <w:sz w:val="20"/>
              </w:rPr>
              <w:lastRenderedPageBreak/>
              <w:t xml:space="preserve">Accès admin (Id/MDP) : </w:t>
            </w:r>
            <w:proofErr w:type="spellStart"/>
            <w:r>
              <w:rPr>
                <w:rFonts w:ascii="Arial" w:eastAsia="Arial" w:hAnsi="Arial" w:cs="Arial"/>
                <w:b/>
                <w:sz w:val="20"/>
              </w:rPr>
              <w:t>a@a</w:t>
            </w:r>
            <w:proofErr w:type="spellEnd"/>
            <w:r>
              <w:rPr>
                <w:rFonts w:ascii="Arial" w:eastAsia="Arial" w:hAnsi="Arial" w:cs="Arial"/>
                <w:b/>
                <w:sz w:val="20"/>
              </w:rPr>
              <w:t>/a</w:t>
            </w:r>
          </w:p>
          <w:p w:rsidR="00715E51" w:rsidRDefault="00715E51" w:rsidP="00715E51">
            <w:pPr>
              <w:spacing w:after="668"/>
            </w:pPr>
            <w:r>
              <w:rPr>
                <w:rFonts w:ascii="Arial" w:eastAsia="Arial" w:hAnsi="Arial" w:cs="Arial"/>
                <w:b/>
                <w:sz w:val="20"/>
              </w:rPr>
              <w:t>Accès admin (Id/MDP) : ADMIN@ADMIN/ADMIN</w:t>
            </w:r>
          </w:p>
          <w:p w:rsidR="00157833" w:rsidRDefault="00AE0856">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 xml:space="preserve">Au verso de cette page, le candidat présente un </w:t>
            </w:r>
            <w:bookmarkStart w:id="0" w:name="_GoBack"/>
            <w:r>
              <w:rPr>
                <w:rFonts w:ascii="Arial" w:eastAsia="Arial" w:hAnsi="Arial" w:cs="Arial"/>
                <w:sz w:val="20"/>
              </w:rPr>
              <w:t xml:space="preserve">descriptif détaillé </w:t>
            </w:r>
            <w:bookmarkEnd w:id="0"/>
            <w:r>
              <w:rPr>
                <w:rFonts w:ascii="Arial" w:eastAsia="Arial" w:hAnsi="Arial" w:cs="Arial"/>
                <w:sz w:val="20"/>
              </w:rPr>
              <w:t>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7CA" w:rsidRDefault="005437CA">
      <w:pPr>
        <w:spacing w:after="0" w:line="240" w:lineRule="auto"/>
      </w:pPr>
      <w:r>
        <w:separator/>
      </w:r>
    </w:p>
  </w:endnote>
  <w:endnote w:type="continuationSeparator" w:id="0">
    <w:p w:rsidR="005437CA" w:rsidRDefault="0054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7CA" w:rsidRDefault="005437CA">
      <w:pPr>
        <w:spacing w:after="74" w:line="250" w:lineRule="auto"/>
        <w:ind w:right="13"/>
        <w:jc w:val="both"/>
      </w:pPr>
      <w:r>
        <w:separator/>
      </w:r>
    </w:p>
  </w:footnote>
  <w:footnote w:type="continuationSeparator" w:id="0">
    <w:p w:rsidR="005437CA" w:rsidRDefault="005437CA">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B0F59"/>
    <w:rsid w:val="00157833"/>
    <w:rsid w:val="002256D9"/>
    <w:rsid w:val="00343E17"/>
    <w:rsid w:val="00351C7A"/>
    <w:rsid w:val="003547BD"/>
    <w:rsid w:val="005437CA"/>
    <w:rsid w:val="006914F4"/>
    <w:rsid w:val="00715E51"/>
    <w:rsid w:val="00855014"/>
    <w:rsid w:val="00864D59"/>
    <w:rsid w:val="00926157"/>
    <w:rsid w:val="00933FC8"/>
    <w:rsid w:val="00AE0856"/>
    <w:rsid w:val="00BC26F0"/>
    <w:rsid w:val="00C557F5"/>
    <w:rsid w:val="00D5446A"/>
    <w:rsid w:val="00DB5EFE"/>
    <w:rsid w:val="00E8199F"/>
    <w:rsid w:val="00E9744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DF0F"/>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841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12</cp:revision>
  <dcterms:created xsi:type="dcterms:W3CDTF">2021-01-18T16:02:00Z</dcterms:created>
  <dcterms:modified xsi:type="dcterms:W3CDTF">2021-02-23T11:21:00Z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