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320"/>
      </w:pPr>
      <w:r>
        <w:t xml:space="preserve"/>
      </w:r>
    </w:p>
    <w:p>
      <w:pPr>
        <w:spacing w:after="80" w:before="0"/>
        <w:jc w:val="center"/>
      </w:pPr>
      <w:r>
        <w:rPr>
          <w:rFonts w:ascii="Arial" w:cs="Arial" w:eastAsia="Arial" w:hAnsi="Arial"/>
          <w:b/>
          <w:bCs/>
          <w:color w:val="888888"/>
          <w:spacing w:val="200"/>
          <w:sz w:val="20"/>
          <w:szCs w:val="20"/>
        </w:rPr>
        <w:t xml:space="preserve">LINEOPS TOOLKIT</w:t>
      </w:r>
    </w:p>
    <w:p>
      <w:pPr>
        <w:spacing w:after="80" w:before="80"/>
        <w:jc w:val="center"/>
      </w:pPr>
      <w:r>
        <w:rPr>
          <w:rFonts w:ascii="Arial" w:cs="Arial" w:eastAsia="Arial" w:hAnsi="Arial"/>
          <w:b/>
          <w:bCs/>
          <w:color w:val="1F4E79"/>
          <w:sz w:val="72"/>
          <w:szCs w:val="72"/>
        </w:rPr>
        <w:t xml:space="preserve">ShiftGuide</w:t>
      </w:r>
    </w:p>
    <w:p>
      <w:pPr>
        <w:spacing w:after="400" w:before="80"/>
        <w:jc w:val="center"/>
      </w:pPr>
      <w:r>
        <w:rPr>
          <w:rFonts w:ascii="Arial" w:cs="Arial" w:eastAsia="Arial" w:hAnsi="Arial"/>
          <w:i/>
          <w:iCs/>
          <w:color w:val="555555"/>
          <w:sz w:val="26"/>
          <w:szCs w:val="26"/>
        </w:rPr>
        <w:t xml:space="preserve">Document de conception conceptuelle</w:t>
      </w:r>
    </w:p>
    <w:p>
      <w:pPr>
        <w:pBdr>
          <w:bottom w:val="single" w:color="CCCCCC" w:sz="4" w:space="1"/>
        </w:pBdr>
        <w:spacing w:after="240" w:before="240"/>
      </w:pPr>
      <w:r>
        <w:t xml:space="preserve"/>
      </w:r>
    </w:p>
    <w:p>
      <w:pPr>
        <w:spacing w:after="80" w:before="160"/>
        <w:jc w:val="center"/>
      </w:pPr>
      <w:r>
        <w:rPr>
          <w:rFonts w:ascii="Arial" w:cs="Arial" w:eastAsia="Arial" w:hAnsi="Arial"/>
          <w:i/>
          <w:iCs/>
          <w:color w:val="333333"/>
          <w:sz w:val="24"/>
          <w:szCs w:val="24"/>
        </w:rPr>
        <w:t xml:space="preserve">Application d’assistance opérationnelle pour conducteurs de ligne de conditionnement</w:t>
      </w:r>
    </w:p>
    <w:p>
      <w:pPr>
        <w:pBdr>
          <w:bottom w:val="single" w:color="CCCCCC" w:sz="4" w:space="1"/>
        </w:pBdr>
        <w:spacing w:after="240" w:before="240"/>
      </w:pPr>
      <w:r>
        <w:t xml:space="preserve"/>
      </w:r>
    </w:p>
    <w:p>
      <w:pPr>
        <w:spacing w:after="0" w:before="160"/>
      </w:pPr>
      <w:r>
        <w:t xml:space="preserve"/>
      </w:r>
    </w:p>
    <w:p>
      <w:pPr>
        <w:spacing w:after="80" w:before="0"/>
        <w:jc w:val="center"/>
      </w:pPr>
      <w:r>
        <w:rPr>
          <w:rFonts w:ascii="Arial" w:cs="Arial" w:eastAsia="Arial" w:hAnsi="Arial"/>
          <w:color w:val="999999"/>
          <w:sz w:val="20"/>
          <w:szCs w:val="20"/>
        </w:rPr>
        <w:t xml:space="preserve">Akik Systems — Référence de travail interne</w:t>
      </w:r>
    </w:p>
    <w:p>
      <w:pPr>
        <w:spacing w:after="0" w:before="0"/>
        <w:jc w:val="center"/>
      </w:pPr>
      <w:r>
        <w:rPr>
          <w:rFonts w:ascii="Arial" w:cs="Arial" w:eastAsia="Arial" w:hAnsi="Arial"/>
          <w:color w:val="999999"/>
          <w:sz w:val="20"/>
          <w:szCs w:val="20"/>
        </w:rPr>
        <w:t xml:space="preserve">www.akiksystems.com</w:t>
      </w:r>
    </w:p>
    <w:p>
      <w:r>
        <w:br w:type="page"/>
      </w:r>
    </w:p>
    <w:p>
      <w:pPr>
        <w:pStyle w:val="Heading1"/>
        <w:pBdr>
          <w:bottom w:val="single" w:color="1F4E79" w:sz="8" w:space="4"/>
        </w:pBdr>
        <w:spacing w:after="160" w:before="480"/>
      </w:pPr>
      <w:r>
        <w:rPr>
          <w:rFonts w:ascii="Arial" w:cs="Arial" w:eastAsia="Arial" w:hAnsi="Arial"/>
          <w:b/>
          <w:bCs/>
          <w:color w:val="1F4E79"/>
          <w:sz w:val="36"/>
          <w:szCs w:val="36"/>
        </w:rPr>
        <w:t xml:space="preserve">1. Intention fondamentale</w:t>
      </w:r>
    </w:p>
    <w:p>
      <w:pPr>
        <w:spacing w:after="0" w:before="80"/>
      </w:pPr>
      <w:r>
        <w:t xml:space="preserve"/>
      </w:r>
    </w:p>
    <w:p>
      <w:pPr>
        <w:pStyle w:val="Heading2"/>
        <w:spacing w:after="120" w:before="320"/>
      </w:pPr>
      <w:r>
        <w:rPr>
          <w:rFonts w:ascii="Arial" w:cs="Arial" w:eastAsia="Arial" w:hAnsi="Arial"/>
          <w:b/>
          <w:bCs/>
          <w:color w:val="2E74B5"/>
          <w:sz w:val="28"/>
          <w:szCs w:val="28"/>
        </w:rPr>
        <w:t xml:space="preserve">1.1 Le point de départ : un livret papier</w:t>
      </w:r>
    </w:p>
    <w:p>
      <w:pPr>
        <w:spacing w:after="80" w:before="80"/>
      </w:pPr>
      <w:r>
        <w:rPr>
          <w:rFonts w:ascii="Arial" w:cs="Arial" w:eastAsia="Arial" w:hAnsi="Arial"/>
          <w:sz w:val="22"/>
          <w:szCs w:val="22"/>
        </w:rPr>
        <w:t xml:space="preserve">Un conducteur de ligne de conditionnement reçoit, à la prise de poste, un livret papier. Ce livret recense l’ensemble des procédures, checklist, règles et définitions qui encadrent son travail.</w:t>
      </w:r>
    </w:p>
    <w:p>
      <w:pPr>
        <w:spacing w:after="80" w:before="80"/>
      </w:pPr>
      <w:r>
        <w:rPr>
          <w:rFonts w:ascii="Arial" w:cs="Arial" w:eastAsia="Arial" w:hAnsi="Arial"/>
          <w:sz w:val="22"/>
          <w:szCs w:val="22"/>
        </w:rPr>
        <w:t xml:space="preserve">Ce document est bien conçu. Il est structuré. Il est lisible. Il est complet.</w:t>
      </w:r>
    </w:p>
    <w:p>
      <w:pPr>
        <w:spacing w:after="80" w:before="80"/>
      </w:pPr>
      <w:r>
        <w:rPr>
          <w:rFonts w:ascii="Arial" w:cs="Arial" w:eastAsia="Arial" w:hAnsi="Arial"/>
          <w:sz w:val="22"/>
          <w:szCs w:val="22"/>
        </w:rPr>
        <w:t xml:space="preserve">Il est aussi fondamentalement inadapté à la réalité du poste.</w:t>
      </w:r>
    </w:p>
    <w:p>
      <w:pPr>
        <w:spacing w:after="0" w:before="80"/>
      </w:pPr>
      <w:r>
        <w:t xml:space="preserve"/>
      </w:r>
    </w:p>
    <w:p>
      <w:pPr>
        <w:pStyle w:val="Heading2"/>
        <w:spacing w:after="120" w:before="320"/>
      </w:pPr>
      <w:r>
        <w:rPr>
          <w:rFonts w:ascii="Arial" w:cs="Arial" w:eastAsia="Arial" w:hAnsi="Arial"/>
          <w:b/>
          <w:bCs/>
          <w:color w:val="2E74B5"/>
          <w:sz w:val="28"/>
          <w:szCs w:val="28"/>
        </w:rPr>
        <w:t xml:space="preserve">1.2 Le problème réel</w:t>
      </w:r>
    </w:p>
    <w:p>
      <w:pPr>
        <w:spacing w:after="80" w:before="80"/>
      </w:pPr>
      <w:r>
        <w:rPr>
          <w:rFonts w:ascii="Arial" w:cs="Arial" w:eastAsia="Arial" w:hAnsi="Arial"/>
          <w:sz w:val="22"/>
          <w:szCs w:val="22"/>
        </w:rPr>
        <w:t xml:space="preserve">Un conducteur de ligne ne pilote pas une procédure. Il pilote un flux vivant : machine, produit, qualité, matière, logistique, arrêts, saisies, prélèvements, contrôles, calculs.</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20"/>
        <w:gridCol w:w="4740"/>
      </w:tblGrid>
      <w:tr>
        <w:tc>
          <w:tcPr>
            <w:tcW w:type="dxa" w:w="4620"/>
            <w:tcBorders>
              <w:top w:val="single" w:color="CCCCCC" w:sz="1"/>
              <w:left w:val="single" w:color="CCCCCC" w:sz="1"/>
              <w:bottom w:val="single" w:color="CCCCCC" w:sz="1"/>
              <w:right w:val="single" w:color="CCCCCC" w:sz="1"/>
            </w:tcBorders>
            <w:shd w:fill="D6E4F0" w:val="clear"/>
            <w:tcMar>
              <w:top w:type="dxa" w:w="120"/>
              <w:left w:type="dxa" w:w="160"/>
              <w:bottom w:type="dxa" w:w="120"/>
              <w:right w:type="dxa" w:w="160"/>
            </w:tcMar>
          </w:tcPr>
          <w:p>
            <w:pPr>
              <w:spacing w:after="60" w:before="60"/>
            </w:pPr>
            <w:r>
              <w:rPr>
                <w:rFonts w:ascii="Arial" w:cs="Arial" w:eastAsia="Arial" w:hAnsi="Arial"/>
                <w:sz w:val="21"/>
                <w:szCs w:val="21"/>
              </w:rPr>
              <w:t xml:space="preserve">Ce que le livret suppose :</w:t>
            </w:r>
          </w:p>
          <w:p>
            <w:pPr>
              <w:spacing w:after="60" w:before="60"/>
            </w:pPr>
            <w:r>
              <w:rPr>
                <w:rFonts w:ascii="Arial" w:cs="Arial" w:eastAsia="Arial" w:hAnsi="Arial"/>
                <w:sz w:val="21"/>
                <w:szCs w:val="21"/>
              </w:rPr>
              <w:t xml:space="preserve">  – L’opérateur lit avant d’agir</w:t>
            </w:r>
          </w:p>
          <w:p>
            <w:pPr>
              <w:spacing w:after="60" w:before="60"/>
            </w:pPr>
            <w:r>
              <w:rPr>
                <w:rFonts w:ascii="Arial" w:cs="Arial" w:eastAsia="Arial" w:hAnsi="Arial"/>
                <w:sz w:val="21"/>
                <w:szCs w:val="21"/>
              </w:rPr>
              <w:t xml:space="preserve">  – L’information est stable</w:t>
            </w:r>
          </w:p>
          <w:p>
            <w:pPr>
              <w:spacing w:after="60" w:before="60"/>
            </w:pPr>
            <w:r>
              <w:rPr>
                <w:rFonts w:ascii="Arial" w:cs="Arial" w:eastAsia="Arial" w:hAnsi="Arial"/>
                <w:sz w:val="21"/>
                <w:szCs w:val="21"/>
              </w:rPr>
              <w:t xml:space="preserve">  – La mémoire est disponible</w:t>
            </w:r>
          </w:p>
          <w:p>
            <w:pPr>
              <w:spacing w:after="60" w:before="60"/>
            </w:pPr>
            <w:r>
              <w:rPr>
                <w:rFonts w:ascii="Arial" w:cs="Arial" w:eastAsia="Arial" w:hAnsi="Arial"/>
                <w:sz w:val="21"/>
                <w:szCs w:val="21"/>
              </w:rPr>
              <w:t xml:space="preserve">  – Le contexte est prévisible</w:t>
            </w:r>
          </w:p>
          <w:p>
            <w:pPr>
              <w:spacing w:after="60" w:before="60"/>
            </w:pPr>
            <w:r>
              <w:rPr>
                <w:rFonts w:ascii="Arial" w:cs="Arial" w:eastAsia="Arial" w:hAnsi="Arial"/>
                <w:sz w:val="21"/>
                <w:szCs w:val="21"/>
              </w:rPr>
              <w:t xml:space="preserve">  – Un support suffit</w:t>
            </w:r>
          </w:p>
        </w:tc>
        <w:tc>
          <w:tcPr>
            <w:tcW w:type="dxa" w:w="4740"/>
            <w:tcBorders>
              <w:top w:val="single" w:color="CCCCCC" w:sz="1"/>
              <w:left w:val="single" w:color="CCCCCC" w:sz="1"/>
              <w:bottom w:val="single" w:color="CCCCCC" w:sz="1"/>
              <w:right w:val="single" w:color="CCCCCC" w:sz="1"/>
            </w:tcBorders>
            <w:shd w:fill="FDF3DC" w:val="clear"/>
            <w:tcMar>
              <w:top w:type="dxa" w:w="120"/>
              <w:left w:type="dxa" w:w="160"/>
              <w:bottom w:type="dxa" w:w="120"/>
              <w:right w:type="dxa" w:w="160"/>
            </w:tcMar>
          </w:tcPr>
          <w:p>
            <w:pPr>
              <w:spacing w:after="60" w:before="60"/>
            </w:pPr>
            <w:r>
              <w:rPr>
                <w:rFonts w:ascii="Arial" w:cs="Arial" w:eastAsia="Arial" w:hAnsi="Arial"/>
                <w:sz w:val="21"/>
                <w:szCs w:val="21"/>
              </w:rPr>
              <w:t xml:space="preserve">Ce que le terrain impose :</w:t>
            </w:r>
          </w:p>
          <w:p>
            <w:pPr>
              <w:spacing w:after="60" w:before="60"/>
            </w:pPr>
            <w:r>
              <w:rPr>
                <w:rFonts w:ascii="Arial" w:cs="Arial" w:eastAsia="Arial" w:hAnsi="Arial"/>
                <w:sz w:val="21"/>
                <w:szCs w:val="21"/>
              </w:rPr>
              <w:t xml:space="preserve">  – L’opérateur agit dans le flux</w:t>
            </w:r>
          </w:p>
          <w:p>
            <w:pPr>
              <w:spacing w:after="60" w:before="60"/>
            </w:pPr>
            <w:r>
              <w:rPr>
                <w:rFonts w:ascii="Arial" w:cs="Arial" w:eastAsia="Arial" w:hAnsi="Arial"/>
                <w:sz w:val="21"/>
                <w:szCs w:val="21"/>
              </w:rPr>
              <w:t xml:space="preserve">  – L’information change avec la ligne</w:t>
            </w:r>
          </w:p>
          <w:p>
            <w:pPr>
              <w:spacing w:after="60" w:before="60"/>
            </w:pPr>
            <w:r>
              <w:rPr>
                <w:rFonts w:ascii="Arial" w:cs="Arial" w:eastAsia="Arial" w:hAnsi="Arial"/>
                <w:sz w:val="21"/>
                <w:szCs w:val="21"/>
              </w:rPr>
              <w:t xml:space="preserve">  – La mémoire est saturée</w:t>
            </w:r>
          </w:p>
          <w:p>
            <w:pPr>
              <w:spacing w:after="60" w:before="60"/>
            </w:pPr>
            <w:r>
              <w:rPr>
                <w:rFonts w:ascii="Arial" w:cs="Arial" w:eastAsia="Arial" w:hAnsi="Arial"/>
                <w:sz w:val="21"/>
                <w:szCs w:val="21"/>
              </w:rPr>
              <w:t xml:space="preserve">  – Les aléas sont constants</w:t>
            </w:r>
          </w:p>
          <w:p>
            <w:pPr>
              <w:spacing w:after="60" w:before="60"/>
            </w:pPr>
            <w:r>
              <w:rPr>
                <w:rFonts w:ascii="Arial" w:cs="Arial" w:eastAsia="Arial" w:hAnsi="Arial"/>
                <w:sz w:val="21"/>
                <w:szCs w:val="21"/>
              </w:rPr>
              <w:t xml:space="preserve">  – Les systèmes sont multiples</w:t>
            </w:r>
          </w:p>
        </w:tc>
      </w:tr>
    </w:tbl>
    <w:p>
      <w:pPr>
        <w:spacing w:after="0" w:before="160"/>
      </w:pPr>
      <w:r>
        <w:t xml:space="preserve"/>
      </w:r>
    </w:p>
    <w:p>
      <w:pPr>
        <w:spacing w:after="80" w:before="80"/>
      </w:pPr>
      <w:r>
        <w:rPr>
          <w:rFonts w:ascii="Arial" w:cs="Arial" w:eastAsia="Arial" w:hAnsi="Arial"/>
          <w:sz w:val="22"/>
          <w:szCs w:val="22"/>
        </w:rPr>
        <w:t xml:space="preserve">Cette dissociation entre le document conçu et la réalité vécue crée une charge cognitive invisible que le conducteur absorbe seul, en silence, à chaque poste.</w:t>
      </w:r>
    </w:p>
    <w:p>
      <w:pPr>
        <w:spacing w:after="0" w:before="160"/>
      </w:pPr>
      <w:r>
        <w:t xml:space="preserve"/>
      </w:r>
    </w:p>
    <w:p>
      <w:pPr>
        <w:pStyle w:val="Heading2"/>
        <w:spacing w:after="120" w:before="320"/>
      </w:pPr>
      <w:r>
        <w:rPr>
          <w:rFonts w:ascii="Arial" w:cs="Arial" w:eastAsia="Arial" w:hAnsi="Arial"/>
          <w:b/>
          <w:bCs/>
          <w:color w:val="2E74B5"/>
          <w:sz w:val="28"/>
          <w:szCs w:val="28"/>
        </w:rPr>
        <w:t xml:space="preserve">1.3 Le véritable facteur limitant</w:t>
      </w:r>
    </w:p>
    <w:p>
      <w:pPr>
        <w:spacing w:after="80" w:before="80"/>
      </w:pPr>
      <w:r>
        <w:rPr>
          <w:rFonts w:ascii="Arial" w:cs="Arial" w:eastAsia="Arial" w:hAnsi="Arial"/>
          <w:sz w:val="22"/>
          <w:szCs w:val="22"/>
        </w:rPr>
        <w:t xml:space="preserve">Le problème n’est pas l’absence d’information. Le livret existe. Les procédures existent. Les systèmes SPI, APRISO, SOLVACE, Fapimpec existent.</w:t>
      </w:r>
    </w:p>
    <w:p>
      <w:pPr>
        <w:spacing w:after="80" w:before="80"/>
      </w:pPr>
      <w:r>
        <w:rPr>
          <w:rFonts w:ascii="Arial" w:cs="Arial" w:eastAsia="Arial" w:hAnsi="Arial"/>
          <w:sz w:val="22"/>
          <w:szCs w:val="22"/>
        </w:rPr>
        <w:t xml:space="preserve">Le facteur limitant est la dispersion de cette information sur des supports incompatibles avec le flux réel du poste.</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D6E4F0" w:val="clear"/>
            <w:tcMar>
              <w:top w:type="dxa" w:w="160"/>
              <w:left w:type="dxa" w:w="240"/>
              <w:bottom w:type="dxa" w:w="160"/>
              <w:right w:type="dxa" w:w="240"/>
            </w:tcMar>
          </w:tcPr>
          <w:p>
            <w:pPr>
              <w:spacing w:after="80" w:before="0"/>
            </w:pPr>
            <w:r>
              <w:rPr>
                <w:rFonts w:ascii="Arial" w:cs="Arial" w:eastAsia="Arial" w:hAnsi="Arial"/>
                <w:b/>
                <w:bCs/>
                <w:color w:val="1F4E79"/>
                <w:sz w:val="20"/>
                <w:szCs w:val="20"/>
              </w:rPr>
              <w:t xml:space="preserve">Principe fondateur</w:t>
            </w:r>
          </w:p>
          <w:p>
            <w:pPr>
              <w:spacing w:after="0" w:before="0"/>
            </w:pPr>
            <w:r>
              <w:rPr>
                <w:rFonts w:ascii="Arial" w:cs="Arial" w:eastAsia="Arial" w:hAnsi="Arial"/>
                <w:i/>
                <w:iCs/>
                <w:sz w:val="22"/>
                <w:szCs w:val="22"/>
              </w:rPr>
              <w:t xml:space="preserve">Le conducteur ne doit pas compenser le système d’information. Le système d’information doit soutenir le conducteur.</w:t>
            </w:r>
          </w:p>
        </w:tc>
      </w:tr>
    </w:tbl>
    <w:p>
      <w:r>
        <w:br w:type="page"/>
      </w:r>
    </w:p>
    <w:p>
      <w:pPr>
        <w:pStyle w:val="Heading1"/>
        <w:pBdr>
          <w:bottom w:val="single" w:color="1F4E79" w:sz="8" w:space="4"/>
        </w:pBdr>
        <w:spacing w:after="160" w:before="480"/>
      </w:pPr>
      <w:r>
        <w:rPr>
          <w:rFonts w:ascii="Arial" w:cs="Arial" w:eastAsia="Arial" w:hAnsi="Arial"/>
          <w:b/>
          <w:bCs/>
          <w:color w:val="1F4E79"/>
          <w:sz w:val="36"/>
          <w:szCs w:val="36"/>
        </w:rPr>
        <w:t xml:space="preserve">2. Ce que ShiftGuide n’est pas — et ce qu’il est</w:t>
      </w:r>
    </w:p>
    <w:p>
      <w:pPr>
        <w:spacing w:after="0" w:before="80"/>
      </w:pPr>
      <w:r>
        <w:t xml:space="preserve"/>
      </w:r>
    </w:p>
    <w:p>
      <w:pPr>
        <w:pStyle w:val="Heading2"/>
        <w:spacing w:after="120" w:before="320"/>
      </w:pPr>
      <w:r>
        <w:rPr>
          <w:rFonts w:ascii="Arial" w:cs="Arial" w:eastAsia="Arial" w:hAnsi="Arial"/>
          <w:b/>
          <w:bCs/>
          <w:color w:val="2E74B5"/>
          <w:sz w:val="28"/>
          <w:szCs w:val="28"/>
        </w:rPr>
        <w:t xml:space="preserve">2.1 Rejets explicites</w:t>
      </w:r>
    </w:p>
    <w:p>
      <w:pPr>
        <w:spacing w:after="80" w:before="80"/>
      </w:pPr>
      <w:r>
        <w:rPr>
          <w:rFonts w:ascii="Arial" w:cs="Arial" w:eastAsia="Arial" w:hAnsi="Arial"/>
          <w:sz w:val="22"/>
          <w:szCs w:val="22"/>
        </w:rPr>
        <w:t xml:space="preserve">ShiftGuide n’est pas :</w:t>
      </w:r>
    </w:p>
    <w:p>
      <w:pPr>
        <w:pStyle w:val="ListParagraph"/>
        <w:numPr>
          <w:ilvl w:val="0"/>
          <w:numId w:val="2"/>
        </w:numPr>
        <w:spacing w:after="60" w:before="60"/>
      </w:pPr>
      <w:r>
        <w:rPr>
          <w:rFonts w:ascii="Arial" w:cs="Arial" w:eastAsia="Arial" w:hAnsi="Arial"/>
          <w:sz w:val="22"/>
          <w:szCs w:val="22"/>
        </w:rPr>
        <w:t xml:space="preserve">une numérisation du livret papier</w:t>
      </w:r>
    </w:p>
    <w:p>
      <w:pPr>
        <w:pStyle w:val="ListParagraph"/>
        <w:numPr>
          <w:ilvl w:val="0"/>
          <w:numId w:val="2"/>
        </w:numPr>
        <w:spacing w:after="60" w:before="60"/>
      </w:pPr>
      <w:r>
        <w:rPr>
          <w:rFonts w:ascii="Arial" w:cs="Arial" w:eastAsia="Arial" w:hAnsi="Arial"/>
          <w:sz w:val="22"/>
          <w:szCs w:val="22"/>
        </w:rPr>
        <w:t xml:space="preserve">un affichage écran des mêmes informations dans le même ordre</w:t>
      </w:r>
    </w:p>
    <w:p>
      <w:pPr>
        <w:pStyle w:val="ListParagraph"/>
        <w:numPr>
          <w:ilvl w:val="0"/>
          <w:numId w:val="2"/>
        </w:numPr>
        <w:spacing w:after="60" w:before="60"/>
      </w:pPr>
      <w:r>
        <w:rPr>
          <w:rFonts w:ascii="Arial" w:cs="Arial" w:eastAsia="Arial" w:hAnsi="Arial"/>
          <w:sz w:val="22"/>
          <w:szCs w:val="22"/>
        </w:rPr>
        <w:t xml:space="preserve">un système de génération de procédures</w:t>
      </w:r>
    </w:p>
    <w:p>
      <w:pPr>
        <w:pStyle w:val="ListParagraph"/>
        <w:numPr>
          <w:ilvl w:val="0"/>
          <w:numId w:val="2"/>
        </w:numPr>
        <w:spacing w:after="60" w:before="60"/>
      </w:pPr>
      <w:r>
        <w:rPr>
          <w:rFonts w:ascii="Arial" w:cs="Arial" w:eastAsia="Arial" w:hAnsi="Arial"/>
          <w:sz w:val="22"/>
          <w:szCs w:val="22"/>
        </w:rPr>
        <w:t xml:space="preserve">un outil de reporting pour le management</w:t>
      </w:r>
    </w:p>
    <w:p>
      <w:pPr>
        <w:pStyle w:val="ListParagraph"/>
        <w:numPr>
          <w:ilvl w:val="0"/>
          <w:numId w:val="2"/>
        </w:numPr>
        <w:spacing w:after="60" w:before="60"/>
      </w:pPr>
      <w:r>
        <w:rPr>
          <w:rFonts w:ascii="Arial" w:cs="Arial" w:eastAsia="Arial" w:hAnsi="Arial"/>
          <w:sz w:val="22"/>
          <w:szCs w:val="22"/>
        </w:rPr>
        <w:t xml:space="preserve">un remplacement des systèmes métiers existants (SPI, APRISO, Fapimpec)</w:t>
      </w:r>
    </w:p>
    <w:p>
      <w:pPr>
        <w:spacing w:after="0" w:before="80"/>
      </w:pPr>
      <w:r>
        <w:t xml:space="preserve"/>
      </w:r>
    </w:p>
    <w:p>
      <w:pPr>
        <w:spacing w:after="80" w:before="80"/>
      </w:pPr>
      <w:r>
        <w:rPr>
          <w:rFonts w:ascii="Arial" w:cs="Arial" w:eastAsia="Arial" w:hAnsi="Arial"/>
          <w:sz w:val="22"/>
          <w:szCs w:val="22"/>
        </w:rPr>
        <w:t xml:space="preserve">Reproduire le livret numériquement sans transformer la logique serait rater l’essentiel. Ce serait ajouter un écran sans retirer la charge.</w:t>
      </w:r>
    </w:p>
    <w:p>
      <w:pPr>
        <w:spacing w:after="0" w:before="160"/>
      </w:pPr>
      <w:r>
        <w:t xml:space="preserve"/>
      </w:r>
    </w:p>
    <w:p>
      <w:pPr>
        <w:pStyle w:val="Heading2"/>
        <w:spacing w:after="120" w:before="320"/>
      </w:pPr>
      <w:r>
        <w:rPr>
          <w:rFonts w:ascii="Arial" w:cs="Arial" w:eastAsia="Arial" w:hAnsi="Arial"/>
          <w:b/>
          <w:bCs/>
          <w:color w:val="2E74B5"/>
          <w:sz w:val="28"/>
          <w:szCs w:val="28"/>
        </w:rPr>
        <w:t xml:space="preserve">2.2 Nature réelle de l’application</w:t>
      </w:r>
    </w:p>
    <w:p>
      <w:pPr>
        <w:spacing w:after="80" w:before="80"/>
      </w:pPr>
      <w:r>
        <w:rPr>
          <w:rFonts w:ascii="Arial" w:cs="Arial" w:eastAsia="Arial" w:hAnsi="Arial"/>
          <w:sz w:val="22"/>
          <w:szCs w:val="22"/>
        </w:rPr>
        <w:t xml:space="preserve">ShiftGuide est un système de compensation cognitive contextuelle.</w:t>
      </w:r>
    </w:p>
    <w:p>
      <w:pPr>
        <w:spacing w:after="80" w:before="80"/>
      </w:pPr>
      <w:r>
        <w:rPr>
          <w:rFonts w:ascii="Arial" w:cs="Arial" w:eastAsia="Arial" w:hAnsi="Arial"/>
          <w:sz w:val="22"/>
          <w:szCs w:val="22"/>
        </w:rPr>
        <w:t xml:space="preserve">Il est conçu pour accompagner l’action humaine dans un flux réel, où l’attention est contrainte, la mémoire sollicitée et le contexte en mouvement permanent.</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DF3DC" w:val="clear"/>
            <w:tcMar>
              <w:top w:type="dxa" w:w="160"/>
              <w:left w:type="dxa" w:w="240"/>
              <w:bottom w:type="dxa" w:w="160"/>
              <w:right w:type="dxa" w:w="240"/>
            </w:tcMar>
          </w:tcPr>
          <w:p>
            <w:pPr>
              <w:spacing w:after="80" w:before="0"/>
            </w:pPr>
            <w:r>
              <w:rPr>
                <w:rFonts w:ascii="Arial" w:cs="Arial" w:eastAsia="Arial" w:hAnsi="Arial"/>
                <w:b/>
                <w:bCs/>
                <w:color w:val="B8860B"/>
                <w:sz w:val="20"/>
                <w:szCs w:val="20"/>
              </w:rPr>
              <w:t xml:space="preserve">Définition opérationnelle</w:t>
            </w:r>
          </w:p>
          <w:p>
            <w:pPr>
              <w:spacing w:after="0" w:before="0"/>
            </w:pPr>
            <w:r>
              <w:rPr>
                <w:rFonts w:ascii="Arial" w:cs="Arial" w:eastAsia="Arial" w:hAnsi="Arial"/>
                <w:i/>
                <w:iCs/>
                <w:sz w:val="22"/>
                <w:szCs w:val="22"/>
              </w:rPr>
              <w:t xml:space="preserve">ShiftGuide ne présente pas toutes les informations. Il présente la bonne information, au bon moment, dans le bon contexte, avec une action claire.</w:t>
            </w:r>
          </w:p>
        </w:tc>
      </w:tr>
    </w:tbl>
    <w:p>
      <w:pPr>
        <w:spacing w:after="0" w:before="160"/>
      </w:pPr>
      <w:r>
        <w:t xml:space="preserve"/>
      </w:r>
    </w:p>
    <w:p>
      <w:pPr>
        <w:spacing w:after="80" w:before="80"/>
      </w:pPr>
      <w:r>
        <w:rPr>
          <w:rFonts w:ascii="Arial" w:cs="Arial" w:eastAsia="Arial" w:hAnsi="Arial"/>
          <w:sz w:val="22"/>
          <w:szCs w:val="22"/>
        </w:rPr>
        <w:t xml:space="preserve">Sa valeur ne se mesure pas au nombre de fonctionnalités affichées. Elle se mesure à la quantité de friction retirée du travail réel.</w:t>
      </w:r>
    </w:p>
    <w:p>
      <w:r>
        <w:br w:type="page"/>
      </w:r>
    </w:p>
    <w:p>
      <w:pPr>
        <w:pStyle w:val="Heading1"/>
        <w:pBdr>
          <w:bottom w:val="single" w:color="1F4E79" w:sz="8" w:space="4"/>
        </w:pBdr>
        <w:spacing w:after="160" w:before="480"/>
      </w:pPr>
      <w:r>
        <w:rPr>
          <w:rFonts w:ascii="Arial" w:cs="Arial" w:eastAsia="Arial" w:hAnsi="Arial"/>
          <w:b/>
          <w:bCs/>
          <w:color w:val="1F4E79"/>
          <w:sz w:val="36"/>
          <w:szCs w:val="36"/>
        </w:rPr>
        <w:t xml:space="preserve">3. Réalité du poste de conditionnement</w:t>
      </w:r>
    </w:p>
    <w:p>
      <w:pPr>
        <w:spacing w:after="0" w:before="80"/>
      </w:pPr>
      <w:r>
        <w:t xml:space="preserve"/>
      </w:r>
    </w:p>
    <w:p>
      <w:pPr>
        <w:pStyle w:val="Heading2"/>
        <w:spacing w:after="120" w:before="320"/>
      </w:pPr>
      <w:r>
        <w:rPr>
          <w:rFonts w:ascii="Arial" w:cs="Arial" w:eastAsia="Arial" w:hAnsi="Arial"/>
          <w:b/>
          <w:bCs/>
          <w:color w:val="2E74B5"/>
          <w:sz w:val="28"/>
          <w:szCs w:val="28"/>
        </w:rPr>
        <w:t xml:space="preserve">3.1 La structure du poste</w:t>
      </w:r>
    </w:p>
    <w:p>
      <w:pPr>
        <w:spacing w:after="80" w:before="80"/>
      </w:pPr>
      <w:r>
        <w:rPr>
          <w:rFonts w:ascii="Arial" w:cs="Arial" w:eastAsia="Arial" w:hAnsi="Arial"/>
          <w:sz w:val="22"/>
          <w:szCs w:val="22"/>
        </w:rPr>
        <w:t xml:space="preserve">Un poste de conditionnement est un flux temporel structuré en phases distinctes. Chaque phase a ses propres exigences, ses propres systèmes et ses propres risques d’erreur.</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3380"/>
        <w:gridCol w:w="3380"/>
      </w:tblGrid>
      <w:tr>
        <w:tc>
          <w:tcPr>
            <w:tcW w:type="dxa" w:w="2600"/>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tcPr>
          <w:p>
            <w:r>
              <w:rPr>
                <w:rFonts w:ascii="Arial" w:cs="Arial" w:eastAsia="Arial" w:hAnsi="Arial"/>
                <w:b/>
                <w:bCs/>
                <w:color w:val="FFFFFF"/>
                <w:sz w:val="20"/>
                <w:szCs w:val="20"/>
              </w:rPr>
              <w:t xml:space="preserve">Phase</w:t>
            </w:r>
          </w:p>
        </w:tc>
        <w:tc>
          <w:tcPr>
            <w:tcW w:type="dxa" w:w="3380"/>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tcPr>
          <w:p>
            <w:r>
              <w:rPr>
                <w:rFonts w:ascii="Arial" w:cs="Arial" w:eastAsia="Arial" w:hAnsi="Arial"/>
                <w:b/>
                <w:bCs/>
                <w:color w:val="FFFFFF"/>
                <w:sz w:val="20"/>
                <w:szCs w:val="20"/>
              </w:rPr>
              <w:t xml:space="preserve">Charge principale</w:t>
            </w:r>
          </w:p>
        </w:tc>
        <w:tc>
          <w:tcPr>
            <w:tcW w:type="dxa" w:w="3380"/>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tcPr>
          <w:p>
            <w:r>
              <w:rPr>
                <w:rFonts w:ascii="Arial" w:cs="Arial" w:eastAsia="Arial" w:hAnsi="Arial"/>
                <w:b/>
                <w:bCs/>
                <w:color w:val="FFFFFF"/>
                <w:sz w:val="20"/>
                <w:szCs w:val="20"/>
              </w:rPr>
              <w:t xml:space="preserve">Risque principal</w:t>
            </w:r>
          </w:p>
        </w:tc>
      </w:tr>
      <w:tr>
        <w:tc>
          <w:tcPr>
            <w:tcW w:type="dxa" w:w="26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b/>
                <w:bCs/>
                <w:sz w:val="20"/>
                <w:szCs w:val="20"/>
              </w:rPr>
              <w:t xml:space="preserve">Badgeage</w:t>
            </w:r>
          </w:p>
        </w:tc>
        <w:tc>
          <w:tcPr>
            <w:tcW w:type="dxa" w:w="338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sz w:val="20"/>
                <w:szCs w:val="20"/>
              </w:rPr>
              <w:t xml:space="preserve">Identification SPI + badgeuse physique</w:t>
            </w:r>
          </w:p>
        </w:tc>
        <w:tc>
          <w:tcPr>
            <w:tcW w:type="dxa" w:w="338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color w:val="C00000"/>
                <w:sz w:val="20"/>
                <w:szCs w:val="20"/>
              </w:rPr>
              <w:t xml:space="preserve">Oubli de déclaration état ligne</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sz w:val="20"/>
                <w:szCs w:val="20"/>
              </w:rPr>
              <w:t xml:space="preserve">Début de poste</w:t>
            </w:r>
          </w:p>
        </w:tc>
        <w:tc>
          <w:tcPr>
            <w:tcW w:type="dxa" w:w="33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12 vérifications multi-systèmes</w:t>
            </w:r>
          </w:p>
        </w:tc>
        <w:tc>
          <w:tcPr>
            <w:tcW w:type="dxa" w:w="33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C00000"/>
                <w:sz w:val="20"/>
                <w:szCs w:val="20"/>
              </w:rPr>
              <w:t xml:space="preserve">Oubli d’une vérification critique</w:t>
            </w:r>
          </w:p>
        </w:tc>
      </w:tr>
      <w:tr>
        <w:tc>
          <w:tcPr>
            <w:tcW w:type="dxa" w:w="26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b/>
                <w:bCs/>
                <w:sz w:val="20"/>
                <w:szCs w:val="20"/>
              </w:rPr>
              <w:t xml:space="preserve">Début d’OC</w:t>
            </w:r>
          </w:p>
        </w:tc>
        <w:tc>
          <w:tcPr>
            <w:tcW w:type="dxa" w:w="338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sz w:val="20"/>
                <w:szCs w:val="20"/>
              </w:rPr>
              <w:t xml:space="preserve">16 étapes avant lancement</w:t>
            </w:r>
          </w:p>
        </w:tc>
        <w:tc>
          <w:tcPr>
            <w:tcW w:type="dxa" w:w="338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color w:val="C00000"/>
                <w:sz w:val="20"/>
                <w:szCs w:val="20"/>
              </w:rPr>
              <w:t xml:space="preserve">Démarrage hors conformité</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sz w:val="20"/>
                <w:szCs w:val="20"/>
              </w:rPr>
              <w:t xml:space="preserve">Début de cuve</w:t>
            </w:r>
          </w:p>
        </w:tc>
        <w:tc>
          <w:tcPr>
            <w:tcW w:type="dxa" w:w="33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Vérification référence + contrôles</w:t>
            </w:r>
          </w:p>
        </w:tc>
        <w:tc>
          <w:tcPr>
            <w:tcW w:type="dxa" w:w="33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C00000"/>
                <w:sz w:val="20"/>
                <w:szCs w:val="20"/>
              </w:rPr>
              <w:t xml:space="preserve">Mauvais jus en ligne</w:t>
            </w:r>
          </w:p>
        </w:tc>
      </w:tr>
      <w:tr>
        <w:tc>
          <w:tcPr>
            <w:tcW w:type="dxa" w:w="26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b/>
                <w:bCs/>
                <w:sz w:val="20"/>
                <w:szCs w:val="20"/>
              </w:rPr>
              <w:t xml:space="preserve">Production</w:t>
            </w:r>
          </w:p>
        </w:tc>
        <w:tc>
          <w:tcPr>
            <w:tcW w:type="dxa" w:w="338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sz w:val="20"/>
                <w:szCs w:val="20"/>
              </w:rPr>
              <w:t xml:space="preserve">Surveillance continue + 10 tâches parallèles</w:t>
            </w:r>
          </w:p>
        </w:tc>
        <w:tc>
          <w:tcPr>
            <w:tcW w:type="dxa" w:w="338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color w:val="C00000"/>
                <w:sz w:val="20"/>
                <w:szCs w:val="20"/>
              </w:rPr>
              <w:t xml:space="preserve">Saturation attention, oublis</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sz w:val="20"/>
                <w:szCs w:val="20"/>
              </w:rPr>
              <w:t xml:space="preserve">Fin de cuve</w:t>
            </w:r>
          </w:p>
        </w:tc>
        <w:tc>
          <w:tcPr>
            <w:tcW w:type="dxa" w:w="33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Prélèvements + contrôles remplissage</w:t>
            </w:r>
          </w:p>
        </w:tc>
        <w:tc>
          <w:tcPr>
            <w:tcW w:type="dxa" w:w="33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C00000"/>
                <w:sz w:val="20"/>
                <w:szCs w:val="20"/>
              </w:rPr>
              <w:t xml:space="preserve">Prélèvements manquants</w:t>
            </w:r>
          </w:p>
        </w:tc>
      </w:tr>
      <w:tr>
        <w:tc>
          <w:tcPr>
            <w:tcW w:type="dxa" w:w="26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b/>
                <w:bCs/>
                <w:sz w:val="20"/>
                <w:szCs w:val="20"/>
              </w:rPr>
              <w:t xml:space="preserve">Changement OC</w:t>
            </w:r>
          </w:p>
        </w:tc>
        <w:tc>
          <w:tcPr>
            <w:tcW w:type="dxa" w:w="338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sz w:val="20"/>
                <w:szCs w:val="20"/>
              </w:rPr>
              <w:t xml:space="preserve">4 types différents selon la nature</w:t>
            </w:r>
          </w:p>
        </w:tc>
        <w:tc>
          <w:tcPr>
            <w:tcW w:type="dxa" w:w="338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color w:val="C00000"/>
                <w:sz w:val="20"/>
                <w:szCs w:val="20"/>
              </w:rPr>
              <w:t xml:space="preserve">Mauvais type de changement</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sz w:val="20"/>
                <w:szCs w:val="20"/>
              </w:rPr>
              <w:t xml:space="preserve">Fin d’OC</w:t>
            </w:r>
          </w:p>
        </w:tc>
        <w:tc>
          <w:tcPr>
            <w:tcW w:type="dxa" w:w="33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10 opérations de clôture</w:t>
            </w:r>
          </w:p>
        </w:tc>
        <w:tc>
          <w:tcPr>
            <w:tcW w:type="dxa" w:w="33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C00000"/>
                <w:sz w:val="20"/>
                <w:szCs w:val="20"/>
              </w:rPr>
              <w:t xml:space="preserve">Quantités mal réintégrées</w:t>
            </w:r>
          </w:p>
        </w:tc>
      </w:tr>
      <w:tr>
        <w:tc>
          <w:tcPr>
            <w:tcW w:type="dxa" w:w="26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b/>
                <w:bCs/>
                <w:sz w:val="20"/>
                <w:szCs w:val="20"/>
              </w:rPr>
              <w:t xml:space="preserve">Fin de poste</w:t>
            </w:r>
          </w:p>
        </w:tc>
        <w:tc>
          <w:tcPr>
            <w:tcW w:type="dxa" w:w="338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sz w:val="20"/>
                <w:szCs w:val="20"/>
              </w:rPr>
              <w:t xml:space="preserve">Passation + débadgeage</w:t>
            </w:r>
          </w:p>
        </w:tc>
        <w:tc>
          <w:tcPr>
            <w:tcW w:type="dxa" w:w="338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color w:val="C00000"/>
                <w:sz w:val="20"/>
                <w:szCs w:val="20"/>
              </w:rPr>
              <w:t xml:space="preserve">Ligne mal préparée pour suivant</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sz w:val="20"/>
                <w:szCs w:val="20"/>
              </w:rPr>
              <w:t xml:space="preserve">Tri</w:t>
            </w:r>
          </w:p>
        </w:tc>
        <w:tc>
          <w:tcPr>
            <w:tcW w:type="dxa" w:w="33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Procédure MAC-IM-021 + suivi</w:t>
            </w:r>
          </w:p>
        </w:tc>
        <w:tc>
          <w:tcPr>
            <w:tcW w:type="dxa" w:w="33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C00000"/>
                <w:sz w:val="20"/>
                <w:szCs w:val="20"/>
              </w:rPr>
              <w:t xml:space="preserve">PF non séparés correctement</w:t>
            </w:r>
          </w:p>
        </w:tc>
      </w:tr>
    </w:tbl>
    <w:p>
      <w:pPr>
        <w:spacing w:after="0" w:before="160"/>
      </w:pPr>
      <w:r>
        <w:t xml:space="preserve"/>
      </w:r>
    </w:p>
    <w:p>
      <w:pPr>
        <w:pStyle w:val="Heading2"/>
        <w:spacing w:after="120" w:before="320"/>
      </w:pPr>
      <w:r>
        <w:rPr>
          <w:rFonts w:ascii="Arial" w:cs="Arial" w:eastAsia="Arial" w:hAnsi="Arial"/>
          <w:b/>
          <w:bCs/>
          <w:color w:val="2E74B5"/>
          <w:sz w:val="28"/>
          <w:szCs w:val="28"/>
        </w:rPr>
        <w:t xml:space="preserve">3.2 La superposition comme problème</w:t>
      </w:r>
    </w:p>
    <w:p>
      <w:pPr>
        <w:spacing w:after="80" w:before="80"/>
      </w:pPr>
      <w:r>
        <w:rPr>
          <w:rFonts w:ascii="Arial" w:cs="Arial" w:eastAsia="Arial" w:hAnsi="Arial"/>
          <w:sz w:val="22"/>
          <w:szCs w:val="22"/>
        </w:rPr>
        <w:t xml:space="preserve">Chaque tâche peut paraître simple isolément. Leur superposition crée la difficulté réelle du poste.</w:t>
      </w:r>
    </w:p>
    <w:p>
      <w:pPr>
        <w:spacing w:after="80" w:before="80"/>
      </w:pPr>
      <w:r>
        <w:rPr>
          <w:rFonts w:ascii="Arial" w:cs="Arial" w:eastAsia="Arial" w:hAnsi="Arial"/>
          <w:sz w:val="22"/>
          <w:szCs w:val="22"/>
        </w:rPr>
        <w:t xml:space="preserve">Le conducteur ne gère pas une tâche à la fois. Il gère simultanément la machine, le produit, la matière, la qualité, la quantité, les palettes, les arrêts, les saisies, les documents, les priorités et les aléas.</w:t>
      </w:r>
    </w:p>
    <w:p>
      <w:pPr>
        <w:spacing w:after="0" w:before="80"/>
      </w:pPr>
      <w:r>
        <w:t xml:space="preserve"/>
      </w:r>
    </w:p>
    <w:p>
      <w:pPr>
        <w:spacing w:after="80" w:before="80"/>
      </w:pPr>
      <w:r>
        <w:rPr>
          <w:rFonts w:ascii="Arial" w:cs="Arial" w:eastAsia="Arial" w:hAnsi="Arial"/>
          <w:sz w:val="22"/>
          <w:szCs w:val="22"/>
        </w:rPr>
        <w:t xml:space="preserve">La reconstruction permanente de cette cohérence consomme de l’attention. Cette attention n’est pas infinie.</w:t>
      </w:r>
    </w:p>
    <w:p>
      <w:r>
        <w:br w:type="page"/>
      </w:r>
    </w:p>
    <w:p>
      <w:pPr>
        <w:pStyle w:val="Heading1"/>
        <w:pBdr>
          <w:bottom w:val="single" w:color="1F4E79" w:sz="8" w:space="4"/>
        </w:pBdr>
        <w:spacing w:after="160" w:before="480"/>
      </w:pPr>
      <w:r>
        <w:rPr>
          <w:rFonts w:ascii="Arial" w:cs="Arial" w:eastAsia="Arial" w:hAnsi="Arial"/>
          <w:b/>
          <w:bCs/>
          <w:color w:val="1F4E79"/>
          <w:sz w:val="36"/>
          <w:szCs w:val="36"/>
        </w:rPr>
        <w:t xml:space="preserve">4. Principe directeur</w:t>
      </w:r>
    </w:p>
    <w:p>
      <w:pPr>
        <w:spacing w:after="0" w:before="80"/>
      </w:pPr>
      <w:r>
        <w:t xml:space="preserve"/>
      </w:r>
    </w:p>
    <w:p>
      <w:pPr>
        <w:spacing w:after="160" w:before="160"/>
        <w:jc w:val="center"/>
      </w:pPr>
      <w:r>
        <w:rPr>
          <w:rFonts w:ascii="Arial" w:cs="Arial" w:eastAsia="Arial" w:hAnsi="Arial"/>
          <w:b/>
          <w:bCs/>
          <w:i/>
          <w:iCs/>
          <w:color w:val="1F4E79"/>
          <w:sz w:val="26"/>
          <w:szCs w:val="26"/>
        </w:rPr>
        <w:t xml:space="preserve">ShiftGuide ne présente pas le livret. Il sait où en est le conducteur et lui montre uniquement ce qui est nécessaire maintenant.</w:t>
      </w:r>
    </w:p>
    <w:p>
      <w:pPr>
        <w:spacing w:after="0" w:before="160"/>
      </w:pPr>
      <w:r>
        <w:t xml:space="preserve"/>
      </w:r>
    </w:p>
    <w:p>
      <w:pPr>
        <w:pStyle w:val="Heading2"/>
        <w:spacing w:after="120" w:before="320"/>
      </w:pPr>
      <w:r>
        <w:rPr>
          <w:rFonts w:ascii="Arial" w:cs="Arial" w:eastAsia="Arial" w:hAnsi="Arial"/>
          <w:b/>
          <w:bCs/>
          <w:color w:val="2E74B5"/>
          <w:sz w:val="28"/>
          <w:szCs w:val="28"/>
        </w:rPr>
        <w:t xml:space="preserve">4.1 Conscience contextuelle du poste</w:t>
      </w:r>
    </w:p>
    <w:p>
      <w:pPr>
        <w:spacing w:after="80" w:before="80"/>
      </w:pPr>
      <w:r>
        <w:rPr>
          <w:rFonts w:ascii="Arial" w:cs="Arial" w:eastAsia="Arial" w:hAnsi="Arial"/>
          <w:sz w:val="22"/>
          <w:szCs w:val="22"/>
        </w:rPr>
        <w:t xml:space="preserve">L’application connaît la phase active : début de poste, début d’OC, production, fin de cuve, etc.</w:t>
      </w:r>
    </w:p>
    <w:p>
      <w:pPr>
        <w:spacing w:after="80" w:before="80"/>
      </w:pPr>
      <w:r>
        <w:rPr>
          <w:rFonts w:ascii="Arial" w:cs="Arial" w:eastAsia="Arial" w:hAnsi="Arial"/>
          <w:sz w:val="22"/>
          <w:szCs w:val="22"/>
        </w:rPr>
        <w:t xml:space="preserve">Elle ne présente pas les 10 phases simultanément. Elle présente la phase active uniquement.</w:t>
      </w:r>
    </w:p>
    <w:p>
      <w:pPr>
        <w:spacing w:after="80" w:before="80"/>
      </w:pPr>
      <w:r>
        <w:rPr>
          <w:rFonts w:ascii="Arial" w:cs="Arial" w:eastAsia="Arial" w:hAnsi="Arial"/>
          <w:sz w:val="22"/>
          <w:szCs w:val="22"/>
        </w:rPr>
        <w:t xml:space="preserve">Dans la phase active, elle présente les étapes une par une, avec progression visible et validation explicite avant de passer à la suivante.</w:t>
      </w:r>
    </w:p>
    <w:p>
      <w:pPr>
        <w:spacing w:after="0" w:before="80"/>
      </w:pPr>
      <w:r>
        <w:t xml:space="preserve"/>
      </w:r>
    </w:p>
    <w:p>
      <w:pPr>
        <w:pStyle w:val="Heading2"/>
        <w:spacing w:after="120" w:before="320"/>
      </w:pPr>
      <w:r>
        <w:rPr>
          <w:rFonts w:ascii="Arial" w:cs="Arial" w:eastAsia="Arial" w:hAnsi="Arial"/>
          <w:b/>
          <w:bCs/>
          <w:color w:val="2E74B5"/>
          <w:sz w:val="28"/>
          <w:szCs w:val="28"/>
        </w:rPr>
        <w:t xml:space="preserve">4.2 Un seul écran. Un seul flux. Une seule direction.</w:t>
      </w:r>
    </w:p>
    <w:p>
      <w:pPr>
        <w:spacing w:after="80" w:before="80"/>
      </w:pPr>
      <w:r>
        <w:rPr>
          <w:rFonts w:ascii="Arial" w:cs="Arial" w:eastAsia="Arial" w:hAnsi="Arial"/>
          <w:sz w:val="22"/>
          <w:szCs w:val="22"/>
        </w:rPr>
        <w:t xml:space="preserve">L’interface ne liste pas. Elle guide.</w:t>
      </w:r>
    </w:p>
    <w:p>
      <w:pPr>
        <w:spacing w:after="80" w:before="80"/>
      </w:pPr>
      <w:r>
        <w:rPr>
          <w:rFonts w:ascii="Arial" w:cs="Arial" w:eastAsia="Arial" w:hAnsi="Arial"/>
          <w:sz w:val="22"/>
          <w:szCs w:val="22"/>
        </w:rPr>
        <w:t xml:space="preserve">Elle ne donne pas à voir la totalité de la procédure en haut et en bas. Elle donne à voir l’étape suivante.</w:t>
      </w:r>
    </w:p>
    <w:p>
      <w:pPr>
        <w:spacing w:after="80" w:before="80"/>
      </w:pPr>
      <w:r>
        <w:rPr>
          <w:rFonts w:ascii="Arial" w:cs="Arial" w:eastAsia="Arial" w:hAnsi="Arial"/>
          <w:sz w:val="22"/>
          <w:szCs w:val="22"/>
        </w:rPr>
        <w:t xml:space="preserve">L’opérateur ne navigue pas dans un document. Il avance dans une séquence.</w:t>
      </w:r>
    </w:p>
    <w:p>
      <w:pPr>
        <w:spacing w:after="0" w:before="80"/>
      </w:pPr>
      <w:r>
        <w:t xml:space="preserve"/>
      </w:r>
    </w:p>
    <w:p>
      <w:pPr>
        <w:pStyle w:val="Heading2"/>
        <w:spacing w:after="120" w:before="320"/>
      </w:pPr>
      <w:r>
        <w:rPr>
          <w:rFonts w:ascii="Arial" w:cs="Arial" w:eastAsia="Arial" w:hAnsi="Arial"/>
          <w:b/>
          <w:bCs/>
          <w:color w:val="2E74B5"/>
          <w:sz w:val="28"/>
          <w:szCs w:val="28"/>
        </w:rPr>
        <w:t xml:space="preserve">4.3 Les cinq questions auxquelles le système répond en permanence</w:t>
      </w:r>
    </w:p>
    <w:p>
      <w:pPr>
        <w:pStyle w:val="ListParagraph"/>
        <w:numPr>
          <w:ilvl w:val="0"/>
          <w:numId w:val="3"/>
        </w:numPr>
        <w:spacing w:after="60" w:before="60"/>
      </w:pPr>
      <w:r>
        <w:rPr>
          <w:rFonts w:ascii="Arial" w:cs="Arial" w:eastAsia="Arial" w:hAnsi="Arial"/>
          <w:sz w:val="22"/>
          <w:szCs w:val="22"/>
        </w:rPr>
        <w:t xml:space="preserve">Qu’est-ce qui se passe ?</w:t>
      </w:r>
    </w:p>
    <w:p>
      <w:pPr>
        <w:pStyle w:val="ListParagraph"/>
        <w:numPr>
          <w:ilvl w:val="0"/>
          <w:numId w:val="3"/>
        </w:numPr>
        <w:spacing w:after="60" w:before="60"/>
      </w:pPr>
      <w:r>
        <w:rPr>
          <w:rFonts w:ascii="Arial" w:cs="Arial" w:eastAsia="Arial" w:hAnsi="Arial"/>
          <w:sz w:val="22"/>
          <w:szCs w:val="22"/>
        </w:rPr>
        <w:t xml:space="preserve">Qu’est-ce qui est prioritaire ?</w:t>
      </w:r>
    </w:p>
    <w:p>
      <w:pPr>
        <w:pStyle w:val="ListParagraph"/>
        <w:numPr>
          <w:ilvl w:val="0"/>
          <w:numId w:val="3"/>
        </w:numPr>
        <w:spacing w:after="60" w:before="60"/>
      </w:pPr>
      <w:r>
        <w:rPr>
          <w:rFonts w:ascii="Arial" w:cs="Arial" w:eastAsia="Arial" w:hAnsi="Arial"/>
          <w:sz w:val="22"/>
          <w:szCs w:val="22"/>
        </w:rPr>
        <w:t xml:space="preserve">Qu’est-ce qui bloque ?</w:t>
      </w:r>
    </w:p>
    <w:p>
      <w:pPr>
        <w:pStyle w:val="ListParagraph"/>
        <w:numPr>
          <w:ilvl w:val="0"/>
          <w:numId w:val="3"/>
        </w:numPr>
        <w:spacing w:after="60" w:before="60"/>
      </w:pPr>
      <w:r>
        <w:rPr>
          <w:rFonts w:ascii="Arial" w:cs="Arial" w:eastAsia="Arial" w:hAnsi="Arial"/>
          <w:sz w:val="22"/>
          <w:szCs w:val="22"/>
        </w:rPr>
        <w:t xml:space="preserve">Qu’est-ce qui est déjà traité ?</w:t>
      </w:r>
    </w:p>
    <w:p>
      <w:pPr>
        <w:pStyle w:val="ListParagraph"/>
        <w:numPr>
          <w:ilvl w:val="0"/>
          <w:numId w:val="3"/>
        </w:numPr>
        <w:spacing w:after="60" w:before="60"/>
      </w:pPr>
      <w:r>
        <w:rPr>
          <w:rFonts w:ascii="Arial" w:cs="Arial" w:eastAsia="Arial" w:hAnsi="Arial"/>
          <w:sz w:val="22"/>
          <w:szCs w:val="22"/>
        </w:rPr>
        <w:t xml:space="preserve">Qu’est-ce que je dois faire maintenant ?</w:t>
      </w:r>
    </w:p>
    <w:p>
      <w:pPr>
        <w:spacing w:after="0" w:before="160"/>
      </w:pPr>
      <w:r>
        <w:t xml:space="preserve"/>
      </w:r>
    </w:p>
    <w:p>
      <w:pPr>
        <w:spacing w:after="80" w:before="80"/>
      </w:pPr>
      <w:r>
        <w:rPr>
          <w:rFonts w:ascii="Arial" w:cs="Arial" w:eastAsia="Arial" w:hAnsi="Arial"/>
          <w:sz w:val="22"/>
          <w:szCs w:val="22"/>
        </w:rPr>
        <w:t xml:space="preserve">L’interface n’a pas vocation à être visible pour elle-même. Elle sert l’action. Elle disparaît lorsque le travail avance. Elle reste présente pour sécuriser, alerter, guider et traçer.</w:t>
      </w:r>
    </w:p>
    <w:p>
      <w:r>
        <w:br w:type="page"/>
      </w:r>
    </w:p>
    <w:p>
      <w:pPr>
        <w:pStyle w:val="Heading1"/>
        <w:pBdr>
          <w:bottom w:val="single" w:color="1F4E79" w:sz="8" w:space="4"/>
        </w:pBdr>
        <w:spacing w:after="160" w:before="480"/>
      </w:pPr>
      <w:r>
        <w:rPr>
          <w:rFonts w:ascii="Arial" w:cs="Arial" w:eastAsia="Arial" w:hAnsi="Arial"/>
          <w:b/>
          <w:bCs/>
          <w:color w:val="1F4E79"/>
          <w:sz w:val="36"/>
          <w:szCs w:val="36"/>
        </w:rPr>
        <w:t xml:space="preserve">5. Architecture de l’application</w:t>
      </w:r>
    </w:p>
    <w:p>
      <w:pPr>
        <w:spacing w:after="0" w:before="80"/>
      </w:pPr>
      <w:r>
        <w:t xml:space="preserve"/>
      </w:r>
    </w:p>
    <w:p>
      <w:pPr>
        <w:pStyle w:val="Heading2"/>
        <w:spacing w:after="120" w:before="320"/>
      </w:pPr>
      <w:r>
        <w:rPr>
          <w:rFonts w:ascii="Arial" w:cs="Arial" w:eastAsia="Arial" w:hAnsi="Arial"/>
          <w:b/>
          <w:bCs/>
          <w:color w:val="2E74B5"/>
          <w:sz w:val="28"/>
          <w:szCs w:val="28"/>
        </w:rPr>
        <w:t xml:space="preserve">5.1 Modules principaux</w:t>
      </w:r>
    </w:p>
    <w:p>
      <w:pPr>
        <w:spacing w:after="80" w:before="80"/>
      </w:pPr>
      <w:r>
        <w:rPr>
          <w:rFonts w:ascii="Arial" w:cs="Arial" w:eastAsia="Arial" w:hAnsi="Arial"/>
          <w:sz w:val="22"/>
          <w:szCs w:val="22"/>
        </w:rPr>
        <w:t xml:space="preserve">ShiftGuide est organisé en modules correspondant aux phases réelles du poste. Chaque module est indépendant mais la navigation entre modules suit la logique temporelle du poste.</w:t>
      </w:r>
    </w:p>
    <w:p>
      <w:pPr>
        <w:spacing w:after="0" w:before="80"/>
      </w:pPr>
      <w:r>
        <w:t xml:space="preserve"/>
      </w:r>
    </w:p>
    <w:p>
      <w:pPr>
        <w:spacing w:after="80" w:before="240"/>
      </w:pPr>
      <w:r>
        <w:rPr>
          <w:rFonts w:ascii="Arial" w:cs="Arial" w:eastAsia="Arial" w:hAnsi="Arial"/>
          <w:b/>
          <w:bCs/>
          <w:color w:val="B8860B"/>
          <w:sz w:val="24"/>
          <w:szCs w:val="24"/>
        </w:rPr>
        <w:t xml:space="preserve">Module Badgeage / État ligne</w:t>
      </w:r>
    </w:p>
    <w:p>
      <w:pPr>
        <w:spacing w:after="80" w:before="80"/>
      </w:pPr>
      <w:r>
        <w:rPr>
          <w:rFonts w:ascii="Arial" w:cs="Arial" w:eastAsia="Arial" w:hAnsi="Arial"/>
          <w:sz w:val="22"/>
          <w:szCs w:val="22"/>
        </w:rPr>
        <w:t xml:space="preserve">Accompagne le conducteur dans la déclaration SPI au début et en fin d’équipe. Guide le choix de l’état ligne (production, maintenance, panne, changement, attente) avec l’arbre décisionnel intégré visuellement. Élimine l’ambigüité du bon état à déclarer.</w:t>
      </w:r>
    </w:p>
    <w:p>
      <w:pPr>
        <w:spacing w:after="0" w:before="80"/>
      </w:pPr>
      <w:r>
        <w:t xml:space="preserve"/>
      </w:r>
    </w:p>
    <w:p>
      <w:pPr>
        <w:spacing w:after="80" w:before="240"/>
      </w:pPr>
      <w:r>
        <w:rPr>
          <w:rFonts w:ascii="Arial" w:cs="Arial" w:eastAsia="Arial" w:hAnsi="Arial"/>
          <w:b/>
          <w:bCs/>
          <w:color w:val="B8860B"/>
          <w:sz w:val="24"/>
          <w:szCs w:val="24"/>
        </w:rPr>
        <w:t xml:space="preserve">Module Début de poste</w:t>
      </w:r>
    </w:p>
    <w:p>
      <w:pPr>
        <w:spacing w:after="80" w:before="80"/>
      </w:pPr>
      <w:r>
        <w:rPr>
          <w:rFonts w:ascii="Arial" w:cs="Arial" w:eastAsia="Arial" w:hAnsi="Arial"/>
          <w:sz w:val="22"/>
          <w:szCs w:val="22"/>
        </w:rPr>
        <w:t xml:space="preserve">Présente les 12 vérifications une par une. Chaque étape indique le système concerné (SPI, APRISO, SOLVACE, balance, kits AD) pour contextualiser immédiatement l’action. La progression est visible. Aucune étape n’est sautab le silencieusement. La ligne ne passe en production qu’une fois la checklist validée.</w:t>
      </w:r>
    </w:p>
    <w:p>
      <w:pPr>
        <w:spacing w:after="0" w:before="80"/>
      </w:pPr>
      <w:r>
        <w:t xml:space="preserve"/>
      </w:r>
    </w:p>
    <w:p>
      <w:pPr>
        <w:spacing w:after="80" w:before="240"/>
      </w:pPr>
      <w:r>
        <w:rPr>
          <w:rFonts w:ascii="Arial" w:cs="Arial" w:eastAsia="Arial" w:hAnsi="Arial"/>
          <w:b/>
          <w:bCs/>
          <w:color w:val="B8860B"/>
          <w:sz w:val="24"/>
          <w:szCs w:val="24"/>
        </w:rPr>
        <w:t xml:space="preserve">Module Début / Fin d’OC</w:t>
      </w:r>
    </w:p>
    <w:p>
      <w:pPr>
        <w:spacing w:after="80" w:before="80"/>
      </w:pPr>
      <w:r>
        <w:rPr>
          <w:rFonts w:ascii="Arial" w:cs="Arial" w:eastAsia="Arial" w:hAnsi="Arial"/>
          <w:sz w:val="22"/>
          <w:szCs w:val="22"/>
        </w:rPr>
        <w:t xml:space="preserve">Début d’OC : guide les 16 étapes de préparation jusqu’au lancement. Fin d’OC : guide les 10 opérations de clôture. Le module sait quel type d’OC est en cours et adapte les étapes si nécessaire (changement de lot, de pays, de formule, de format).</w:t>
      </w:r>
    </w:p>
    <w:p>
      <w:pPr>
        <w:spacing w:after="0" w:before="80"/>
      </w:pPr>
      <w:r>
        <w:t xml:space="preserve"/>
      </w:r>
    </w:p>
    <w:p>
      <w:pPr>
        <w:spacing w:after="80" w:before="240"/>
      </w:pPr>
      <w:r>
        <w:rPr>
          <w:rFonts w:ascii="Arial" w:cs="Arial" w:eastAsia="Arial" w:hAnsi="Arial"/>
          <w:b/>
          <w:bCs/>
          <w:color w:val="B8860B"/>
          <w:sz w:val="24"/>
          <w:szCs w:val="24"/>
        </w:rPr>
        <w:t xml:space="preserve">Module Début / Fin de cuve</w:t>
      </w:r>
    </w:p>
    <w:p>
      <w:pPr>
        <w:spacing w:after="80" w:before="80"/>
      </w:pPr>
      <w:r>
        <w:rPr>
          <w:rFonts w:ascii="Arial" w:cs="Arial" w:eastAsia="Arial" w:hAnsi="Arial"/>
          <w:sz w:val="22"/>
          <w:szCs w:val="22"/>
        </w:rPr>
        <w:t xml:space="preserve">Début de cuve : vérification référence jus, numéro de cuve, branchement, contrôles, pesage APRISO, prélèvements. Fin de cuve : contrôle des 20 derniers produits, tare individuelle, prélèvements. Chaque étape guide vers l’action concrète, pas vers le document.</w:t>
      </w:r>
    </w:p>
    <w:p>
      <w:pPr>
        <w:spacing w:after="0" w:before="80"/>
      </w:pPr>
      <w:r>
        <w:t xml:space="preserve"/>
      </w:r>
    </w:p>
    <w:p>
      <w:pPr>
        <w:spacing w:after="80" w:before="240"/>
      </w:pPr>
      <w:r>
        <w:rPr>
          <w:rFonts w:ascii="Arial" w:cs="Arial" w:eastAsia="Arial" w:hAnsi="Arial"/>
          <w:b/>
          <w:bCs/>
          <w:color w:val="B8860B"/>
          <w:sz w:val="24"/>
          <w:szCs w:val="24"/>
        </w:rPr>
        <w:t xml:space="preserve">Module Production</w:t>
      </w:r>
    </w:p>
    <w:p>
      <w:pPr>
        <w:spacing w:after="80" w:before="80"/>
      </w:pPr>
      <w:r>
        <w:rPr>
          <w:rFonts w:ascii="Arial" w:cs="Arial" w:eastAsia="Arial" w:hAnsi="Arial"/>
          <w:sz w:val="22"/>
          <w:szCs w:val="22"/>
        </w:rPr>
        <w:t xml:space="preserve">En cours de production, le module n’est pas une checklist à valider en séquence. C’est un tableau de bord des éléments à surveiller : contrôles qualité, prélèvements micro, justification arrêts SPI, nettoyage buses, vidé poubelles, PZD. Chaque élément a un statut : à faire, en cours, fait, en attente.</w:t>
      </w:r>
    </w:p>
    <w:p>
      <w:pPr>
        <w:spacing w:after="0" w:before="80"/>
      </w:pPr>
      <w:r>
        <w:t xml:space="preserve"/>
      </w:r>
    </w:p>
    <w:p>
      <w:pPr>
        <w:spacing w:after="80" w:before="240"/>
      </w:pPr>
      <w:r>
        <w:rPr>
          <w:rFonts w:ascii="Arial" w:cs="Arial" w:eastAsia="Arial" w:hAnsi="Arial"/>
          <w:b/>
          <w:bCs/>
          <w:color w:val="B8860B"/>
          <w:sz w:val="24"/>
          <w:szCs w:val="24"/>
        </w:rPr>
        <w:t xml:space="preserve">Module Changement OC</w:t>
      </w:r>
    </w:p>
    <w:p>
      <w:pPr>
        <w:spacing w:after="80" w:before="80"/>
      </w:pPr>
      <w:r>
        <w:rPr>
          <w:rFonts w:ascii="Arial" w:cs="Arial" w:eastAsia="Arial" w:hAnsi="Arial"/>
          <w:sz w:val="22"/>
          <w:szCs w:val="22"/>
        </w:rPr>
        <w:t xml:space="preserve">Le conducteur choisit le type de changement. Le système déroule les actions correspondantes. Quatre types : changement de lot, de pays, de formule, de format. Chaque type a ses propres implications (lavage AD, modification formule, réglage machine) présentées clairement sans confusion entre les types.</w:t>
      </w:r>
    </w:p>
    <w:p>
      <w:pPr>
        <w:spacing w:after="0" w:before="80"/>
      </w:pPr>
      <w:r>
        <w:t xml:space="preserve"/>
      </w:r>
    </w:p>
    <w:p>
      <w:pPr>
        <w:spacing w:after="80" w:before="240"/>
      </w:pPr>
      <w:r>
        <w:rPr>
          <w:rFonts w:ascii="Arial" w:cs="Arial" w:eastAsia="Arial" w:hAnsi="Arial"/>
          <w:b/>
          <w:bCs/>
          <w:color w:val="B8860B"/>
          <w:sz w:val="24"/>
          <w:szCs w:val="24"/>
        </w:rPr>
        <w:t xml:space="preserve">Module Tri</w:t>
      </w:r>
    </w:p>
    <w:p>
      <w:pPr>
        <w:spacing w:after="80" w:before="80"/>
      </w:pPr>
      <w:r>
        <w:rPr>
          <w:rFonts w:ascii="Arial" w:cs="Arial" w:eastAsia="Arial" w:hAnsi="Arial"/>
          <w:sz w:val="22"/>
          <w:szCs w:val="22"/>
        </w:rPr>
        <w:t xml:space="preserve">Guide le processus de tri selon le document MAC-IM-021 intégré. Badgeage avec commentaire L__, prise de connaissance signée, suivi des cartons triés, identification PF défectueux / à trier / conformes, rapport en fin d’équipe, remise en état de la zone.</w:t>
      </w:r>
    </w:p>
    <w:p>
      <w:pPr>
        <w:spacing w:after="0" w:before="80"/>
      </w:pPr>
      <w:r>
        <w:t xml:space="preserve"/>
      </w:r>
    </w:p>
    <w:p>
      <w:pPr>
        <w:spacing w:after="80" w:before="240"/>
      </w:pPr>
      <w:r>
        <w:rPr>
          <w:rFonts w:ascii="Arial" w:cs="Arial" w:eastAsia="Arial" w:hAnsi="Arial"/>
          <w:b/>
          <w:bCs/>
          <w:color w:val="B8860B"/>
          <w:sz w:val="24"/>
          <w:szCs w:val="24"/>
        </w:rPr>
        <w:t xml:space="preserve">Module Lexique</w:t>
      </w:r>
    </w:p>
    <w:p>
      <w:pPr>
        <w:spacing w:after="80" w:before="80"/>
      </w:pPr>
      <w:r>
        <w:rPr>
          <w:rFonts w:ascii="Arial" w:cs="Arial" w:eastAsia="Arial" w:hAnsi="Arial"/>
          <w:sz w:val="22"/>
          <w:szCs w:val="22"/>
        </w:rPr>
        <w:t xml:space="preserve">Accès instantané à toutes les abréviations du livret. Recherche par frappe. Résultat en moins d’une seconde. Aucune nécessité de feuilleter. Utilisé ponctuellement, il doit être invisible le reste du temps.</w:t>
      </w:r>
    </w:p>
    <w:p>
      <w:pPr>
        <w:spacing w:after="0" w:before="80"/>
      </w:pPr>
      <w:r>
        <w:t xml:space="preserve"/>
      </w:r>
    </w:p>
    <w:p>
      <w:pPr>
        <w:spacing w:after="80" w:before="240"/>
      </w:pPr>
      <w:r>
        <w:rPr>
          <w:rFonts w:ascii="Arial" w:cs="Arial" w:eastAsia="Arial" w:hAnsi="Arial"/>
          <w:b/>
          <w:bCs/>
          <w:color w:val="B8860B"/>
          <w:sz w:val="24"/>
          <w:szCs w:val="24"/>
        </w:rPr>
        <w:t xml:space="preserve">Module Urgences / Règles d’Or</w:t>
      </w:r>
    </w:p>
    <w:p>
      <w:pPr>
        <w:spacing w:after="80" w:before="80"/>
      </w:pPr>
      <w:r>
        <w:rPr>
          <w:rFonts w:ascii="Arial" w:cs="Arial" w:eastAsia="Arial" w:hAnsi="Arial"/>
          <w:sz w:val="22"/>
          <w:szCs w:val="22"/>
        </w:rPr>
        <w:t xml:space="preserve">Toujours accessible en un geste, depuis n’importe quelle écran. Numéros d’urgence, procédure d’évacuation, règles d’or (LOTO, coupure, chimique, ergonomie, co-activité, environnement). Jamais enfoui. Jamais à chercher.</w:t>
      </w:r>
    </w:p>
    <w:p>
      <w:r>
        <w:br w:type="page"/>
      </w:r>
    </w:p>
    <w:p>
      <w:pPr>
        <w:pStyle w:val="Heading1"/>
        <w:pBdr>
          <w:bottom w:val="single" w:color="1F4E79" w:sz="8" w:space="4"/>
        </w:pBdr>
        <w:spacing w:after="160" w:before="480"/>
      </w:pPr>
      <w:r>
        <w:rPr>
          <w:rFonts w:ascii="Arial" w:cs="Arial" w:eastAsia="Arial" w:hAnsi="Arial"/>
          <w:b/>
          <w:bCs/>
          <w:color w:val="1F4E79"/>
          <w:sz w:val="36"/>
          <w:szCs w:val="36"/>
        </w:rPr>
        <w:t xml:space="preserve">6. Logique de navigation contextuelle</w:t>
      </w:r>
    </w:p>
    <w:p>
      <w:pPr>
        <w:spacing w:after="0" w:before="80"/>
      </w:pPr>
      <w:r>
        <w:t xml:space="preserve"/>
      </w:r>
    </w:p>
    <w:p>
      <w:pPr>
        <w:pStyle w:val="Heading2"/>
        <w:spacing w:after="120" w:before="320"/>
      </w:pPr>
      <w:r>
        <w:rPr>
          <w:rFonts w:ascii="Arial" w:cs="Arial" w:eastAsia="Arial" w:hAnsi="Arial"/>
          <w:b/>
          <w:bCs/>
          <w:color w:val="2E74B5"/>
          <w:sz w:val="28"/>
          <w:szCs w:val="28"/>
        </w:rPr>
        <w:t xml:space="preserve">6.1 Navigation par phase, pas par menu</w:t>
      </w:r>
    </w:p>
    <w:p>
      <w:pPr>
        <w:spacing w:after="80" w:before="80"/>
      </w:pPr>
      <w:r>
        <w:rPr>
          <w:rFonts w:ascii="Arial" w:cs="Arial" w:eastAsia="Arial" w:hAnsi="Arial"/>
          <w:sz w:val="22"/>
          <w:szCs w:val="22"/>
        </w:rPr>
        <w:t xml:space="preserve">L’application ne s’ouvre pas sur un menu avec 10 options. Elle s’ouvre sur la phase active.</w:t>
      </w:r>
    </w:p>
    <w:p>
      <w:pPr>
        <w:spacing w:after="80" w:before="80"/>
      </w:pPr>
      <w:r>
        <w:rPr>
          <w:rFonts w:ascii="Arial" w:cs="Arial" w:eastAsia="Arial" w:hAnsi="Arial"/>
          <w:sz w:val="22"/>
          <w:szCs w:val="22"/>
        </w:rPr>
        <w:t xml:space="preserve">Si le conducteur vient de badger, elle propose le début de poste. Si le début de poste est validé, elle propose le début d’OC. La séquence est logique, naturelle, ancrée dans le flux réel.</w:t>
      </w:r>
    </w:p>
    <w:p>
      <w:pPr>
        <w:spacing w:after="0" w:before="80"/>
      </w:pPr>
      <w:r>
        <w:t xml:space="preserve"/>
      </w:r>
    </w:p>
    <w:p>
      <w:pPr>
        <w:pStyle w:val="Heading2"/>
        <w:spacing w:after="120" w:before="320"/>
      </w:pPr>
      <w:r>
        <w:rPr>
          <w:rFonts w:ascii="Arial" w:cs="Arial" w:eastAsia="Arial" w:hAnsi="Arial"/>
          <w:b/>
          <w:bCs/>
          <w:color w:val="2E74B5"/>
          <w:sz w:val="28"/>
          <w:szCs w:val="28"/>
        </w:rPr>
        <w:t xml:space="preserve">6.2 Progression dans les étapes</w:t>
      </w:r>
    </w:p>
    <w:p>
      <w:pPr>
        <w:spacing w:after="80" w:before="80"/>
      </w:pPr>
      <w:r>
        <w:rPr>
          <w:rFonts w:ascii="Arial" w:cs="Arial" w:eastAsia="Arial" w:hAnsi="Arial"/>
          <w:sz w:val="22"/>
          <w:szCs w:val="22"/>
        </w:rPr>
        <w:t xml:space="preserve">Chaque étape est présentée individuellement avec :</w:t>
      </w:r>
    </w:p>
    <w:p>
      <w:pPr>
        <w:pStyle w:val="ListParagraph"/>
        <w:numPr>
          <w:ilvl w:val="0"/>
          <w:numId w:val="2"/>
        </w:numPr>
        <w:spacing w:after="60" w:before="60"/>
      </w:pPr>
      <w:r>
        <w:rPr>
          <w:rFonts w:ascii="Arial" w:cs="Arial" w:eastAsia="Arial" w:hAnsi="Arial"/>
          <w:sz w:val="22"/>
          <w:szCs w:val="22"/>
        </w:rPr>
        <w:t xml:space="preserve">l’action à réaliser, formulée en verbe d’action direct</w:t>
      </w:r>
    </w:p>
    <w:p>
      <w:pPr>
        <w:pStyle w:val="ListParagraph"/>
        <w:numPr>
          <w:ilvl w:val="0"/>
          <w:numId w:val="2"/>
        </w:numPr>
        <w:spacing w:after="60" w:before="60"/>
      </w:pPr>
      <w:r>
        <w:rPr>
          <w:rFonts w:ascii="Arial" w:cs="Arial" w:eastAsia="Arial" w:hAnsi="Arial"/>
          <w:sz w:val="22"/>
          <w:szCs w:val="22"/>
        </w:rPr>
        <w:t xml:space="preserve">le système ou support concerné (SPI, balance, APRISO…)</w:t>
      </w:r>
    </w:p>
    <w:p>
      <w:pPr>
        <w:pStyle w:val="ListParagraph"/>
        <w:numPr>
          <w:ilvl w:val="0"/>
          <w:numId w:val="2"/>
        </w:numPr>
        <w:spacing w:after="60" w:before="60"/>
      </w:pPr>
      <w:r>
        <w:rPr>
          <w:rFonts w:ascii="Arial" w:cs="Arial" w:eastAsia="Arial" w:hAnsi="Arial"/>
          <w:sz w:val="22"/>
          <w:szCs w:val="22"/>
        </w:rPr>
        <w:t xml:space="preserve">une note contextuelle si nécessaire</w:t>
      </w:r>
    </w:p>
    <w:p>
      <w:pPr>
        <w:pStyle w:val="ListParagraph"/>
        <w:numPr>
          <w:ilvl w:val="0"/>
          <w:numId w:val="2"/>
        </w:numPr>
        <w:spacing w:after="60" w:before="60"/>
      </w:pPr>
      <w:r>
        <w:rPr>
          <w:rFonts w:ascii="Arial" w:cs="Arial" w:eastAsia="Arial" w:hAnsi="Arial"/>
          <w:sz w:val="22"/>
          <w:szCs w:val="22"/>
        </w:rPr>
        <w:t xml:space="preserve">un bouton de validation unique</w:t>
      </w:r>
    </w:p>
    <w:p>
      <w:pPr>
        <w:spacing w:after="0" w:before="80"/>
      </w:pPr>
      <w:r>
        <w:t xml:space="preserve"/>
      </w:r>
    </w:p>
    <w:p>
      <w:pPr>
        <w:spacing w:after="80" w:before="80"/>
      </w:pPr>
      <w:r>
        <w:rPr>
          <w:rFonts w:ascii="Arial" w:cs="Arial" w:eastAsia="Arial" w:hAnsi="Arial"/>
          <w:sz w:val="22"/>
          <w:szCs w:val="22"/>
        </w:rPr>
        <w:t xml:space="preserve">L’opérateur valide. L’application avance. Pas de retour en arrière non justifié. La progression est linéaire par défaut, avec correction possible et tracée.</w:t>
      </w:r>
    </w:p>
    <w:p>
      <w:pPr>
        <w:spacing w:after="0" w:before="80"/>
      </w:pPr>
      <w:r>
        <w:t xml:space="preserve"/>
      </w:r>
    </w:p>
    <w:p>
      <w:pPr>
        <w:pStyle w:val="Heading2"/>
        <w:spacing w:after="120" w:before="320"/>
      </w:pPr>
      <w:r>
        <w:rPr>
          <w:rFonts w:ascii="Arial" w:cs="Arial" w:eastAsia="Arial" w:hAnsi="Arial"/>
          <w:b/>
          <w:bCs/>
          <w:color w:val="2E74B5"/>
          <w:sz w:val="28"/>
          <w:szCs w:val="28"/>
        </w:rPr>
        <w:t xml:space="preserve">6.3 Accès rapide permanent</w:t>
      </w:r>
    </w:p>
    <w:p>
      <w:pPr>
        <w:spacing w:after="80" w:before="80"/>
      </w:pPr>
      <w:r>
        <w:rPr>
          <w:rFonts w:ascii="Arial" w:cs="Arial" w:eastAsia="Arial" w:hAnsi="Arial"/>
          <w:sz w:val="22"/>
          <w:szCs w:val="22"/>
        </w:rPr>
        <w:t xml:space="preserve">Deux éléments sont toujours visibles, quelle que soit la phase :</w:t>
      </w:r>
    </w:p>
    <w:p>
      <w:pPr>
        <w:pStyle w:val="ListParagraph"/>
        <w:numPr>
          <w:ilvl w:val="0"/>
          <w:numId w:val="2"/>
        </w:numPr>
        <w:spacing w:after="60" w:before="60"/>
      </w:pPr>
      <w:r>
        <w:rPr>
          <w:rFonts w:ascii="Arial" w:cs="Arial" w:eastAsia="Arial" w:hAnsi="Arial"/>
          <w:sz w:val="22"/>
          <w:szCs w:val="22"/>
        </w:rPr>
        <w:t xml:space="preserve">Urgences / Règles d’Or — accès en un geste</w:t>
      </w:r>
    </w:p>
    <w:p>
      <w:pPr>
        <w:pStyle w:val="ListParagraph"/>
        <w:numPr>
          <w:ilvl w:val="0"/>
          <w:numId w:val="2"/>
        </w:numPr>
        <w:spacing w:after="60" w:before="60"/>
      </w:pPr>
      <w:r>
        <w:rPr>
          <w:rFonts w:ascii="Arial" w:cs="Arial" w:eastAsia="Arial" w:hAnsi="Arial"/>
          <w:sz w:val="22"/>
          <w:szCs w:val="22"/>
        </w:rPr>
        <w:t xml:space="preserve">Lexique — recherche instantanée</w:t>
      </w:r>
    </w:p>
    <w:p>
      <w:pPr>
        <w:spacing w:after="0" w:before="80"/>
      </w:pPr>
      <w:r>
        <w:t xml:space="preserve"/>
      </w:r>
    </w:p>
    <w:p>
      <w:pPr>
        <w:spacing w:after="80" w:before="80"/>
      </w:pPr>
      <w:r>
        <w:rPr>
          <w:rFonts w:ascii="Arial" w:cs="Arial" w:eastAsia="Arial" w:hAnsi="Arial"/>
          <w:sz w:val="22"/>
          <w:szCs w:val="22"/>
        </w:rPr>
        <w:t xml:space="preserve">Ils n’interrompent pas le flux. Ils se superposent, puis laissent reprendre l’étape en cours.</w:t>
      </w:r>
    </w:p>
    <w:p>
      <w:r>
        <w:br w:type="page"/>
      </w:r>
    </w:p>
    <w:p>
      <w:pPr>
        <w:pStyle w:val="Heading1"/>
        <w:pBdr>
          <w:bottom w:val="single" w:color="1F4E79" w:sz="8" w:space="4"/>
        </w:pBdr>
        <w:spacing w:after="160" w:before="480"/>
      </w:pPr>
      <w:r>
        <w:rPr>
          <w:rFonts w:ascii="Arial" w:cs="Arial" w:eastAsia="Arial" w:hAnsi="Arial"/>
          <w:b/>
          <w:bCs/>
          <w:color w:val="1F4E79"/>
          <w:sz w:val="36"/>
          <w:szCs w:val="36"/>
        </w:rPr>
        <w:t xml:space="preserve">7. Interface : l’exosquelette cognitif du poste</w:t>
      </w:r>
    </w:p>
    <w:p>
      <w:pPr>
        <w:spacing w:after="0" w:before="80"/>
      </w:pPr>
      <w:r>
        <w:t xml:space="preserve"/>
      </w:r>
    </w:p>
    <w:p>
      <w:pPr>
        <w:pStyle w:val="Heading2"/>
        <w:spacing w:after="120" w:before="320"/>
      </w:pPr>
      <w:r>
        <w:rPr>
          <w:rFonts w:ascii="Arial" w:cs="Arial" w:eastAsia="Arial" w:hAnsi="Arial"/>
          <w:b/>
          <w:bCs/>
          <w:color w:val="2E74B5"/>
          <w:sz w:val="28"/>
          <w:szCs w:val="28"/>
        </w:rPr>
        <w:t xml:space="preserve">7.1 Contraintes physiques du terrain</w:t>
      </w:r>
    </w:p>
    <w:p>
      <w:pPr>
        <w:spacing w:after="80" w:before="80"/>
      </w:pPr>
      <w:r>
        <w:rPr>
          <w:rFonts w:ascii="Arial" w:cs="Arial" w:eastAsia="Arial" w:hAnsi="Arial"/>
          <w:sz w:val="22"/>
          <w:szCs w:val="22"/>
        </w:rPr>
        <w:t xml:space="preserve">L’interface est conçue pour un usage en conditions réelles :</w:t>
      </w:r>
    </w:p>
    <w:p>
      <w:pPr>
        <w:pStyle w:val="ListParagraph"/>
        <w:numPr>
          <w:ilvl w:val="0"/>
          <w:numId w:val="2"/>
        </w:numPr>
        <w:spacing w:after="60" w:before="60"/>
      </w:pPr>
      <w:r>
        <w:rPr>
          <w:rFonts w:ascii="Arial" w:cs="Arial" w:eastAsia="Arial" w:hAnsi="Arial"/>
          <w:sz w:val="22"/>
          <w:szCs w:val="22"/>
        </w:rPr>
        <w:t xml:space="preserve">Gants — grandes zones tactiles, espacem ent généreux entre les éléments</w:t>
      </w:r>
    </w:p>
    <w:p>
      <w:pPr>
        <w:pStyle w:val="ListParagraph"/>
        <w:numPr>
          <w:ilvl w:val="0"/>
          <w:numId w:val="2"/>
        </w:numPr>
        <w:spacing w:after="60" w:before="60"/>
      </w:pPr>
      <w:r>
        <w:rPr>
          <w:rFonts w:ascii="Arial" w:cs="Arial" w:eastAsia="Arial" w:hAnsi="Arial"/>
          <w:sz w:val="22"/>
          <w:szCs w:val="22"/>
        </w:rPr>
        <w:t xml:space="preserve">Bruit — aucune dépendance au son pour la navigation principale</w:t>
      </w:r>
    </w:p>
    <w:p>
      <w:pPr>
        <w:pStyle w:val="ListParagraph"/>
        <w:numPr>
          <w:ilvl w:val="0"/>
          <w:numId w:val="2"/>
        </w:numPr>
        <w:spacing w:after="60" w:before="60"/>
      </w:pPr>
      <w:r>
        <w:rPr>
          <w:rFonts w:ascii="Arial" w:cs="Arial" w:eastAsia="Arial" w:hAnsi="Arial"/>
          <w:sz w:val="22"/>
          <w:szCs w:val="22"/>
        </w:rPr>
        <w:t xml:space="preserve">Regard rapide — information critique lisible en moins d’une seconde</w:t>
      </w:r>
    </w:p>
    <w:p>
      <w:pPr>
        <w:pStyle w:val="ListParagraph"/>
        <w:numPr>
          <w:ilvl w:val="0"/>
          <w:numId w:val="2"/>
        </w:numPr>
        <w:spacing w:after="60" w:before="60"/>
      </w:pPr>
      <w:r>
        <w:rPr>
          <w:rFonts w:ascii="Arial" w:cs="Arial" w:eastAsia="Arial" w:hAnsi="Arial"/>
          <w:sz w:val="22"/>
          <w:szCs w:val="22"/>
        </w:rPr>
        <w:t xml:space="preserve">Mains occupées — validation simple, une action par étape</w:t>
      </w:r>
    </w:p>
    <w:p>
      <w:pPr>
        <w:pStyle w:val="ListParagraph"/>
        <w:numPr>
          <w:ilvl w:val="0"/>
          <w:numId w:val="2"/>
        </w:numPr>
        <w:spacing w:after="60" w:before="60"/>
      </w:pPr>
      <w:r>
        <w:rPr>
          <w:rFonts w:ascii="Arial" w:cs="Arial" w:eastAsia="Arial" w:hAnsi="Arial"/>
          <w:sz w:val="22"/>
          <w:szCs w:val="22"/>
        </w:rPr>
        <w:t xml:space="preserve">Luminosité variable — contraste élevé, lisibilité garantie</w:t>
      </w:r>
    </w:p>
    <w:p>
      <w:pPr>
        <w:spacing w:after="0" w:before="80"/>
      </w:pPr>
      <w:r>
        <w:t xml:space="preserve"/>
      </w:r>
    </w:p>
    <w:p>
      <w:pPr>
        <w:pStyle w:val="Heading2"/>
        <w:spacing w:after="120" w:before="320"/>
      </w:pPr>
      <w:r>
        <w:rPr>
          <w:rFonts w:ascii="Arial" w:cs="Arial" w:eastAsia="Arial" w:hAnsi="Arial"/>
          <w:b/>
          <w:bCs/>
          <w:color w:val="2E74B5"/>
          <w:sz w:val="28"/>
          <w:szCs w:val="28"/>
        </w:rPr>
        <w:t xml:space="preserve">7.2 Ce que l’interface affiche</w:t>
      </w:r>
    </w:p>
    <w:p>
      <w:pPr>
        <w:spacing w:after="80" w:before="80"/>
      </w:pPr>
      <w:r>
        <w:rPr>
          <w:rFonts w:ascii="Arial" w:cs="Arial" w:eastAsia="Arial" w:hAnsi="Arial"/>
          <w:sz w:val="22"/>
          <w:szCs w:val="22"/>
        </w:rPr>
        <w:t xml:space="preserve">Ce qui est actif. Ce qui est fait. Ce qui reste. La prochaine action.</w:t>
      </w:r>
    </w:p>
    <w:p>
      <w:pPr>
        <w:spacing w:after="80" w:before="80"/>
      </w:pPr>
      <w:r>
        <w:rPr>
          <w:rFonts w:ascii="Arial" w:cs="Arial" w:eastAsia="Arial" w:hAnsi="Arial"/>
          <w:sz w:val="22"/>
          <w:szCs w:val="22"/>
        </w:rPr>
        <w:t xml:space="preserve">Pas plus. Pas moins.</w:t>
      </w:r>
    </w:p>
    <w:p>
      <w:pPr>
        <w:spacing w:after="0" w:before="80"/>
      </w:pPr>
      <w:r>
        <w:t xml:space="preserve"/>
      </w:r>
    </w:p>
    <w:p>
      <w:pPr>
        <w:pStyle w:val="Heading2"/>
        <w:spacing w:after="120" w:before="320"/>
      </w:pPr>
      <w:r>
        <w:rPr>
          <w:rFonts w:ascii="Arial" w:cs="Arial" w:eastAsia="Arial" w:hAnsi="Arial"/>
          <w:b/>
          <w:bCs/>
          <w:color w:val="2E74B5"/>
          <w:sz w:val="28"/>
          <w:szCs w:val="28"/>
        </w:rPr>
        <w:t xml:space="preserve">7.3 Ce que l’interface n’affiche pas</w:t>
      </w:r>
    </w:p>
    <w:p>
      <w:pPr>
        <w:pStyle w:val="ListParagraph"/>
        <w:numPr>
          <w:ilvl w:val="0"/>
          <w:numId w:val="2"/>
        </w:numPr>
        <w:spacing w:after="60" w:before="60"/>
      </w:pPr>
      <w:r>
        <w:rPr>
          <w:rFonts w:ascii="Arial" w:cs="Arial" w:eastAsia="Arial" w:hAnsi="Arial"/>
          <w:sz w:val="22"/>
          <w:szCs w:val="22"/>
        </w:rPr>
        <w:t xml:space="preserve">Les autres phases du poste qui ne sont pas actives</w:t>
      </w:r>
    </w:p>
    <w:p>
      <w:pPr>
        <w:pStyle w:val="ListParagraph"/>
        <w:numPr>
          <w:ilvl w:val="0"/>
          <w:numId w:val="2"/>
        </w:numPr>
        <w:spacing w:after="60" w:before="60"/>
      </w:pPr>
      <w:r>
        <w:rPr>
          <w:rFonts w:ascii="Arial" w:cs="Arial" w:eastAsia="Arial" w:hAnsi="Arial"/>
          <w:sz w:val="22"/>
          <w:szCs w:val="22"/>
        </w:rPr>
        <w:t xml:space="preserve">Des statistiques ou indicateurs de performance en temps réel</w:t>
      </w:r>
    </w:p>
    <w:p>
      <w:pPr>
        <w:pStyle w:val="ListParagraph"/>
        <w:numPr>
          <w:ilvl w:val="0"/>
          <w:numId w:val="2"/>
        </w:numPr>
        <w:spacing w:after="60" w:before="60"/>
      </w:pPr>
      <w:r>
        <w:rPr>
          <w:rFonts w:ascii="Arial" w:cs="Arial" w:eastAsia="Arial" w:hAnsi="Arial"/>
          <w:sz w:val="22"/>
          <w:szCs w:val="22"/>
        </w:rPr>
        <w:t xml:space="preserve">Des menus complexes ou arborescences profondes</w:t>
      </w:r>
    </w:p>
    <w:p>
      <w:pPr>
        <w:pStyle w:val="ListParagraph"/>
        <w:numPr>
          <w:ilvl w:val="0"/>
          <w:numId w:val="2"/>
        </w:numPr>
        <w:spacing w:after="60" w:before="60"/>
      </w:pPr>
      <w:r>
        <w:rPr>
          <w:rFonts w:ascii="Arial" w:cs="Arial" w:eastAsia="Arial" w:hAnsi="Arial"/>
          <w:sz w:val="22"/>
          <w:szCs w:val="22"/>
        </w:rPr>
        <w:t xml:space="preserve">Des notifications non urgentes pendant une étape critique</w:t>
      </w:r>
    </w:p>
    <w:p>
      <w:pPr>
        <w:pStyle w:val="ListParagraph"/>
        <w:numPr>
          <w:ilvl w:val="0"/>
          <w:numId w:val="2"/>
        </w:numPr>
        <w:spacing w:after="60" w:before="60"/>
      </w:pPr>
      <w:r>
        <w:rPr>
          <w:rFonts w:ascii="Arial" w:cs="Arial" w:eastAsia="Arial" w:hAnsi="Arial"/>
          <w:sz w:val="22"/>
          <w:szCs w:val="22"/>
        </w:rPr>
        <w:t xml:space="preserve">Des informations redondantes avec les systèmes métiers</w:t>
      </w:r>
    </w:p>
    <w:p>
      <w:pPr>
        <w:spacing w:after="0" w:before="80"/>
      </w:pPr>
      <w:r>
        <w:t xml:space="preserve"/>
      </w:r>
    </w:p>
    <w:p>
      <w:pPr>
        <w:pStyle w:val="Heading2"/>
        <w:spacing w:after="120" w:before="320"/>
      </w:pPr>
      <w:r>
        <w:rPr>
          <w:rFonts w:ascii="Arial" w:cs="Arial" w:eastAsia="Arial" w:hAnsi="Arial"/>
          <w:b/>
          <w:bCs/>
          <w:color w:val="2E74B5"/>
          <w:sz w:val="28"/>
          <w:szCs w:val="28"/>
        </w:rPr>
        <w:t xml:space="preserve">7.4 Desktop vs Mobile</w:t>
      </w:r>
    </w:p>
    <w:p>
      <w:pPr>
        <w:spacing w:after="80" w:before="80"/>
      </w:pPr>
      <w:r>
        <w:rPr>
          <w:rFonts w:ascii="Arial" w:cs="Arial" w:eastAsia="Arial" w:hAnsi="Arial"/>
          <w:sz w:val="22"/>
          <w:szCs w:val="22"/>
        </w:rPr>
        <w:t xml:space="preserve">L’application est conçue pour les deux surfaces avec une logique différenciée :</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20"/>
        <w:gridCol w:w="4740"/>
      </w:tblGrid>
      <w:tr>
        <w:tc>
          <w:tcPr>
            <w:tcW w:type="dxa" w:w="4620"/>
            <w:tcBorders>
              <w:top w:val="single" w:color="CCCCCC" w:sz="1"/>
              <w:left w:val="single" w:color="CCCCCC" w:sz="1"/>
              <w:bottom w:val="single" w:color="CCCCCC" w:sz="1"/>
              <w:right w:val="single" w:color="CCCCCC" w:sz="1"/>
            </w:tcBorders>
            <w:shd w:fill="D6E4F0" w:val="clear"/>
            <w:tcMar>
              <w:top w:type="dxa" w:w="120"/>
              <w:left w:type="dxa" w:w="160"/>
              <w:bottom w:type="dxa" w:w="120"/>
              <w:right w:type="dxa" w:w="160"/>
            </w:tcMar>
          </w:tcPr>
          <w:p>
            <w:pPr>
              <w:spacing w:after="60" w:before="60"/>
            </w:pPr>
            <w:r>
              <w:rPr>
                <w:rFonts w:ascii="Arial" w:cs="Arial" w:eastAsia="Arial" w:hAnsi="Arial"/>
                <w:sz w:val="21"/>
                <w:szCs w:val="21"/>
              </w:rPr>
              <w:t xml:space="preserve">Mobile (terrain) :</w:t>
            </w:r>
          </w:p>
          <w:p>
            <w:pPr>
              <w:spacing w:after="60" w:before="60"/>
            </w:pPr>
            <w:r>
              <w:rPr>
                <w:rFonts w:ascii="Arial" w:cs="Arial" w:eastAsia="Arial" w:hAnsi="Arial"/>
                <w:sz w:val="21"/>
                <w:szCs w:val="21"/>
              </w:rPr>
              <w:t xml:space="preserve">  – Navigation à une main</w:t>
            </w:r>
          </w:p>
          <w:p>
            <w:pPr>
              <w:spacing w:after="60" w:before="60"/>
            </w:pPr>
            <w:r>
              <w:rPr>
                <w:rFonts w:ascii="Arial" w:cs="Arial" w:eastAsia="Arial" w:hAnsi="Arial"/>
                <w:sz w:val="21"/>
                <w:szCs w:val="21"/>
              </w:rPr>
              <w:t xml:space="preserve">  – Écran vertical, une étape visible</w:t>
            </w:r>
          </w:p>
          <w:p>
            <w:pPr>
              <w:spacing w:after="60" w:before="60"/>
            </w:pPr>
            <w:r>
              <w:rPr>
                <w:rFonts w:ascii="Arial" w:cs="Arial" w:eastAsia="Arial" w:hAnsi="Arial"/>
                <w:sz w:val="21"/>
                <w:szCs w:val="21"/>
              </w:rPr>
              <w:t xml:space="preserve">  – Validation par gros bouton bas d’écran</w:t>
            </w:r>
          </w:p>
          <w:p>
            <w:pPr>
              <w:spacing w:after="60" w:before="60"/>
            </w:pPr>
            <w:r>
              <w:rPr>
                <w:rFonts w:ascii="Arial" w:cs="Arial" w:eastAsia="Arial" w:hAnsi="Arial"/>
                <w:sz w:val="21"/>
                <w:szCs w:val="21"/>
              </w:rPr>
              <w:t xml:space="preserve">  – Accès Urgences en coin supérieur</w:t>
            </w:r>
          </w:p>
          <w:p>
            <w:pPr>
              <w:spacing w:after="60" w:before="60"/>
            </w:pPr>
            <w:r>
              <w:rPr>
                <w:rFonts w:ascii="Arial" w:cs="Arial" w:eastAsia="Arial" w:hAnsi="Arial"/>
                <w:sz w:val="21"/>
                <w:szCs w:val="21"/>
              </w:rPr>
              <w:t xml:space="preserve">  – Lexique par icône fixe</w:t>
            </w:r>
          </w:p>
        </w:tc>
        <w:tc>
          <w:tcPr>
            <w:tcW w:type="dxa" w:w="4740"/>
            <w:tcBorders>
              <w:top w:val="single" w:color="CCCCCC" w:sz="1"/>
              <w:left w:val="single" w:color="CCCCCC" w:sz="1"/>
              <w:bottom w:val="single" w:color="CCCCCC" w:sz="1"/>
              <w:right w:val="single" w:color="CCCCCC" w:sz="1"/>
            </w:tcBorders>
            <w:shd w:fill="FDF3DC" w:val="clear"/>
            <w:tcMar>
              <w:top w:type="dxa" w:w="120"/>
              <w:left w:type="dxa" w:w="160"/>
              <w:bottom w:type="dxa" w:w="120"/>
              <w:right w:type="dxa" w:w="160"/>
            </w:tcMar>
          </w:tcPr>
          <w:p>
            <w:pPr>
              <w:spacing w:after="60" w:before="60"/>
            </w:pPr>
            <w:r>
              <w:rPr>
                <w:rFonts w:ascii="Arial" w:cs="Arial" w:eastAsia="Arial" w:hAnsi="Arial"/>
                <w:sz w:val="21"/>
                <w:szCs w:val="21"/>
              </w:rPr>
              <w:t xml:space="preserve">Desktop (poste fixe) :</w:t>
            </w:r>
          </w:p>
          <w:p>
            <w:pPr>
              <w:spacing w:after="60" w:before="60"/>
            </w:pPr>
            <w:r>
              <w:rPr>
                <w:rFonts w:ascii="Arial" w:cs="Arial" w:eastAsia="Arial" w:hAnsi="Arial"/>
                <w:sz w:val="21"/>
                <w:szCs w:val="21"/>
              </w:rPr>
              <w:t xml:space="preserve">  – Vue étape active + progression visible</w:t>
            </w:r>
          </w:p>
          <w:p>
            <w:pPr>
              <w:spacing w:after="60" w:before="60"/>
            </w:pPr>
            <w:r>
              <w:rPr>
                <w:rFonts w:ascii="Arial" w:cs="Arial" w:eastAsia="Arial" w:hAnsi="Arial"/>
                <w:sz w:val="21"/>
                <w:szCs w:val="21"/>
              </w:rPr>
              <w:t xml:space="preserve">  – Historique du poste consultable</w:t>
            </w:r>
          </w:p>
          <w:p>
            <w:pPr>
              <w:spacing w:after="60" w:before="60"/>
            </w:pPr>
            <w:r>
              <w:rPr>
                <w:rFonts w:ascii="Arial" w:cs="Arial" w:eastAsia="Arial" w:hAnsi="Arial"/>
                <w:sz w:val="21"/>
                <w:szCs w:val="21"/>
              </w:rPr>
              <w:t xml:space="preserve">  – Confort de lecture accru</w:t>
            </w:r>
          </w:p>
          <w:p>
            <w:pPr>
              <w:spacing w:after="60" w:before="60"/>
            </w:pPr>
            <w:r>
              <w:rPr>
                <w:rFonts w:ascii="Arial" w:cs="Arial" w:eastAsia="Arial" w:hAnsi="Arial"/>
                <w:sz w:val="21"/>
                <w:szCs w:val="21"/>
              </w:rPr>
              <w:t xml:space="preserve">  – Même logique de flux, surface élargie</w:t>
            </w:r>
          </w:p>
          <w:p>
            <w:pPr>
              <w:spacing w:after="60" w:before="60"/>
            </w:pPr>
            <w:r>
              <w:rPr>
                <w:rFonts w:ascii="Arial" w:cs="Arial" w:eastAsia="Arial" w:hAnsi="Arial"/>
                <w:sz w:val="21"/>
                <w:szCs w:val="21"/>
              </w:rPr>
              <w:t xml:space="preserve">  – Intégration tableau de bord OC</w:t>
            </w:r>
          </w:p>
        </w:tc>
      </w:tr>
    </w:tbl>
    <w:p>
      <w:r>
        <w:br w:type="page"/>
      </w:r>
    </w:p>
    <w:p>
      <w:pPr>
        <w:pStyle w:val="Heading1"/>
        <w:pBdr>
          <w:bottom w:val="single" w:color="1F4E79" w:sz="8" w:space="4"/>
        </w:pBdr>
        <w:spacing w:after="160" w:before="480"/>
      </w:pPr>
      <w:r>
        <w:rPr>
          <w:rFonts w:ascii="Arial" w:cs="Arial" w:eastAsia="Arial" w:hAnsi="Arial"/>
          <w:b/>
          <w:bCs/>
          <w:color w:val="1F4E79"/>
          <w:sz w:val="36"/>
          <w:szCs w:val="36"/>
        </w:rPr>
        <w:t xml:space="preserve">8. Traçabilité intégrée, non ajoutée</w:t>
      </w:r>
    </w:p>
    <w:p>
      <w:pPr>
        <w:spacing w:after="0" w:before="80"/>
      </w:pPr>
      <w:r>
        <w:t xml:space="preserve"/>
      </w:r>
    </w:p>
    <w:p>
      <w:pPr>
        <w:pStyle w:val="Heading2"/>
        <w:spacing w:after="120" w:before="320"/>
      </w:pPr>
      <w:r>
        <w:rPr>
          <w:rFonts w:ascii="Arial" w:cs="Arial" w:eastAsia="Arial" w:hAnsi="Arial"/>
          <w:b/>
          <w:bCs/>
          <w:color w:val="2E74B5"/>
          <w:sz w:val="28"/>
          <w:szCs w:val="28"/>
        </w:rPr>
        <w:t xml:space="preserve">8.1 Principe</w:t>
      </w:r>
    </w:p>
    <w:p>
      <w:pPr>
        <w:spacing w:after="80" w:before="80"/>
      </w:pPr>
      <w:r>
        <w:rPr>
          <w:rFonts w:ascii="Arial" w:cs="Arial" w:eastAsia="Arial" w:hAnsi="Arial"/>
          <w:sz w:val="22"/>
          <w:szCs w:val="22"/>
        </w:rPr>
        <w:t xml:space="preserve">La traçabilité ne doit pas être une charge ajoutée au travail. Elle doit naître naturellement de l’action.</w:t>
      </w:r>
    </w:p>
    <w:p>
      <w:pPr>
        <w:spacing w:after="80" w:before="80"/>
      </w:pPr>
      <w:r>
        <w:rPr>
          <w:rFonts w:ascii="Arial" w:cs="Arial" w:eastAsia="Arial" w:hAnsi="Arial"/>
          <w:sz w:val="22"/>
          <w:szCs w:val="22"/>
        </w:rPr>
        <w:t xml:space="preserve">Lorsque le conducteur valide une étape, l’historique se construit. Sans saisie supplémentaire. Sans formulaire. Sans effort.</w:t>
      </w:r>
    </w:p>
    <w:p>
      <w:pPr>
        <w:spacing w:after="0" w:before="80"/>
      </w:pPr>
      <w:r>
        <w:t xml:space="preserve"/>
      </w:r>
    </w:p>
    <w:p>
      <w:pPr>
        <w:pStyle w:val="Heading2"/>
        <w:spacing w:after="120" w:before="320"/>
      </w:pPr>
      <w:r>
        <w:rPr>
          <w:rFonts w:ascii="Arial" w:cs="Arial" w:eastAsia="Arial" w:hAnsi="Arial"/>
          <w:b/>
          <w:bCs/>
          <w:color w:val="2E74B5"/>
          <w:sz w:val="28"/>
          <w:szCs w:val="28"/>
        </w:rPr>
        <w:t xml:space="preserve">8.2 Ce qui est tracé automatiquement</w:t>
      </w:r>
    </w:p>
    <w:p>
      <w:pPr>
        <w:pStyle w:val="ListParagraph"/>
        <w:numPr>
          <w:ilvl w:val="0"/>
          <w:numId w:val="2"/>
        </w:numPr>
        <w:spacing w:after="60" w:before="60"/>
      </w:pPr>
      <w:r>
        <w:rPr>
          <w:rFonts w:ascii="Arial" w:cs="Arial" w:eastAsia="Arial" w:hAnsi="Arial"/>
          <w:sz w:val="22"/>
          <w:szCs w:val="22"/>
        </w:rPr>
        <w:t xml:space="preserve">Heure de validation de chaque étape</w:t>
      </w:r>
    </w:p>
    <w:p>
      <w:pPr>
        <w:pStyle w:val="ListParagraph"/>
        <w:numPr>
          <w:ilvl w:val="0"/>
          <w:numId w:val="2"/>
        </w:numPr>
        <w:spacing w:after="60" w:before="60"/>
      </w:pPr>
      <w:r>
        <w:rPr>
          <w:rFonts w:ascii="Arial" w:cs="Arial" w:eastAsia="Arial" w:hAnsi="Arial"/>
          <w:sz w:val="22"/>
          <w:szCs w:val="22"/>
        </w:rPr>
        <w:t xml:space="preserve">Étapes validées, étapes ignorées, corrections effectuées</w:t>
      </w:r>
    </w:p>
    <w:p>
      <w:pPr>
        <w:pStyle w:val="ListParagraph"/>
        <w:numPr>
          <w:ilvl w:val="0"/>
          <w:numId w:val="2"/>
        </w:numPr>
        <w:spacing w:after="60" w:before="60"/>
      </w:pPr>
      <w:r>
        <w:rPr>
          <w:rFonts w:ascii="Arial" w:cs="Arial" w:eastAsia="Arial" w:hAnsi="Arial"/>
          <w:sz w:val="22"/>
          <w:szCs w:val="22"/>
        </w:rPr>
        <w:t xml:space="preserve">Phase active au moment de chaque action</w:t>
      </w:r>
    </w:p>
    <w:p>
      <w:pPr>
        <w:pStyle w:val="ListParagraph"/>
        <w:numPr>
          <w:ilvl w:val="0"/>
          <w:numId w:val="2"/>
        </w:numPr>
        <w:spacing w:after="60" w:before="60"/>
      </w:pPr>
      <w:r>
        <w:rPr>
          <w:rFonts w:ascii="Arial" w:cs="Arial" w:eastAsia="Arial" w:hAnsi="Arial"/>
          <w:sz w:val="22"/>
          <w:szCs w:val="22"/>
        </w:rPr>
        <w:t xml:space="preserve">Type d’OC en cours, numéro de cuve, référence AC</w:t>
      </w:r>
    </w:p>
    <w:p>
      <w:pPr>
        <w:pStyle w:val="ListParagraph"/>
        <w:numPr>
          <w:ilvl w:val="0"/>
          <w:numId w:val="2"/>
        </w:numPr>
        <w:spacing w:after="60" w:before="60"/>
      </w:pPr>
      <w:r>
        <w:rPr>
          <w:rFonts w:ascii="Arial" w:cs="Arial" w:eastAsia="Arial" w:hAnsi="Arial"/>
          <w:sz w:val="22"/>
          <w:szCs w:val="22"/>
        </w:rPr>
        <w:t xml:space="preserve">Consultations du lexique et des urgences</w:t>
      </w:r>
    </w:p>
    <w:p>
      <w:pPr>
        <w:spacing w:after="0" w:before="80"/>
      </w:pPr>
      <w:r>
        <w:t xml:space="preserve"/>
      </w:r>
    </w:p>
    <w:p>
      <w:pPr>
        <w:pStyle w:val="Heading2"/>
        <w:spacing w:after="120" w:before="320"/>
      </w:pPr>
      <w:r>
        <w:rPr>
          <w:rFonts w:ascii="Arial" w:cs="Arial" w:eastAsia="Arial" w:hAnsi="Arial"/>
          <w:b/>
          <w:bCs/>
          <w:color w:val="2E74B5"/>
          <w:sz w:val="28"/>
          <w:szCs w:val="28"/>
        </w:rPr>
        <w:t xml:space="preserve">8.3 Ce que la traçabilité ne fait pas</w:t>
      </w:r>
    </w:p>
    <w:p>
      <w:pPr>
        <w:spacing w:after="80" w:before="80"/>
      </w:pPr>
      <w:r>
        <w:rPr>
          <w:rFonts w:ascii="Arial" w:cs="Arial" w:eastAsia="Arial" w:hAnsi="Arial"/>
          <w:sz w:val="22"/>
          <w:szCs w:val="22"/>
        </w:rPr>
        <w:t xml:space="preserve">Elle ne surveille pas. Elle ne juge pas. Elle ne produit pas de rapport de performance individuel.</w:t>
      </w:r>
    </w:p>
    <w:p>
      <w:pPr>
        <w:spacing w:after="80" w:before="80"/>
      </w:pPr>
      <w:r>
        <w:rPr>
          <w:rFonts w:ascii="Arial" w:cs="Arial" w:eastAsia="Arial" w:hAnsi="Arial"/>
          <w:sz w:val="22"/>
          <w:szCs w:val="22"/>
        </w:rPr>
        <w:t xml:space="preserve">Elle construit un historique exploitable pour améliorer les procédures, identifier les étapes systématiquement oubliées et fiabiliser les passages de consigne.</w:t>
      </w:r>
    </w:p>
    <w:p>
      <w:r>
        <w:br w:type="page"/>
      </w:r>
    </w:p>
    <w:p>
      <w:pPr>
        <w:pStyle w:val="Heading1"/>
        <w:pBdr>
          <w:bottom w:val="single" w:color="1F4E79" w:sz="8" w:space="4"/>
        </w:pBdr>
        <w:spacing w:after="160" w:before="480"/>
      </w:pPr>
      <w:r>
        <w:rPr>
          <w:rFonts w:ascii="Arial" w:cs="Arial" w:eastAsia="Arial" w:hAnsi="Arial"/>
          <w:b/>
          <w:bCs/>
          <w:color w:val="1F4E79"/>
          <w:sz w:val="36"/>
          <w:szCs w:val="36"/>
        </w:rPr>
        <w:t xml:space="preserve">9. Intégration dans LineOps Toolkit</w:t>
      </w:r>
    </w:p>
    <w:p>
      <w:pPr>
        <w:spacing w:after="0" w:before="80"/>
      </w:pPr>
      <w:r>
        <w:t xml:space="preserve"/>
      </w:r>
    </w:p>
    <w:p>
      <w:pPr>
        <w:pStyle w:val="Heading2"/>
        <w:spacing w:after="120" w:before="320"/>
      </w:pPr>
      <w:r>
        <w:rPr>
          <w:rFonts w:ascii="Arial" w:cs="Arial" w:eastAsia="Arial" w:hAnsi="Arial"/>
          <w:b/>
          <w:bCs/>
          <w:color w:val="2E74B5"/>
          <w:sz w:val="28"/>
          <w:szCs w:val="28"/>
        </w:rPr>
        <w:t xml:space="preserve">9.1 Positionnement dans le Toolkit</w:t>
      </w:r>
    </w:p>
    <w:p>
      <w:pPr>
        <w:spacing w:after="80" w:before="80"/>
      </w:pPr>
      <w:r>
        <w:rPr>
          <w:rFonts w:ascii="Arial" w:cs="Arial" w:eastAsia="Arial" w:hAnsi="Arial"/>
          <w:sz w:val="22"/>
          <w:szCs w:val="22"/>
        </w:rPr>
        <w:t xml:space="preserve">LineOps Toolkit regroupe quatre outils existants : Expiry Check, Logistics Call, Knowledge Base, Packing Calculator. Chacun cible une friction spécifique du poste.</w:t>
      </w:r>
    </w:p>
    <w:p>
      <w:pPr>
        <w:spacing w:after="80" w:before="80"/>
      </w:pPr>
      <w:r>
        <w:rPr>
          <w:rFonts w:ascii="Arial" w:cs="Arial" w:eastAsia="Arial" w:hAnsi="Arial"/>
          <w:sz w:val="22"/>
          <w:szCs w:val="22"/>
        </w:rPr>
        <w:t xml:space="preserve">ShiftGuide est d’une nature différente. Il n’est pas un outil parmi d’autres. Il est l’armature du poste. Il structure le flux dans lequel les autres outils s’insèrent.</w:t>
      </w:r>
    </w:p>
    <w:p>
      <w:pPr>
        <w:spacing w:after="0" w:before="80"/>
      </w:pPr>
      <w:r>
        <w:t xml:space="preserve"/>
      </w:r>
    </w:p>
    <w:p>
      <w:pPr>
        <w:pStyle w:val="Heading2"/>
        <w:spacing w:after="120" w:before="320"/>
      </w:pPr>
      <w:r>
        <w:rPr>
          <w:rFonts w:ascii="Arial" w:cs="Arial" w:eastAsia="Arial" w:hAnsi="Arial"/>
          <w:b/>
          <w:bCs/>
          <w:color w:val="2E74B5"/>
          <w:sz w:val="28"/>
          <w:szCs w:val="28"/>
        </w:rPr>
        <w:t xml:space="preserve">9.2 Complémentarité avec les outils existants</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280"/>
        <w:gridCol w:w="3280"/>
      </w:tblGrid>
      <w:tr>
        <w:tc>
          <w:tcPr>
            <w:tcW w:type="dxa" w:w="2800"/>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tcPr>
          <w:p>
            <w:r>
              <w:rPr>
                <w:rFonts w:ascii="Arial" w:cs="Arial" w:eastAsia="Arial" w:hAnsi="Arial"/>
                <w:b/>
                <w:bCs/>
                <w:color w:val="FFFFFF"/>
                <w:sz w:val="20"/>
                <w:szCs w:val="20"/>
              </w:rPr>
              <w:t xml:space="preserve">Outil</w:t>
            </w:r>
          </w:p>
        </w:tc>
        <w:tc>
          <w:tcPr>
            <w:tcW w:type="dxa" w:w="3280"/>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tcPr>
          <w:p>
            <w:r>
              <w:rPr>
                <w:rFonts w:ascii="Arial" w:cs="Arial" w:eastAsia="Arial" w:hAnsi="Arial"/>
                <w:b/>
                <w:bCs/>
                <w:color w:val="FFFFFF"/>
                <w:sz w:val="20"/>
                <w:szCs w:val="20"/>
              </w:rPr>
              <w:t xml:space="preserve">Friction ciblée</w:t>
            </w:r>
          </w:p>
        </w:tc>
        <w:tc>
          <w:tcPr>
            <w:tcW w:type="dxa" w:w="3280"/>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tcPr>
          <w:p>
            <w:r>
              <w:rPr>
                <w:rFonts w:ascii="Arial" w:cs="Arial" w:eastAsia="Arial" w:hAnsi="Arial"/>
                <w:b/>
                <w:bCs/>
                <w:color w:val="FFFFFF"/>
                <w:sz w:val="20"/>
                <w:szCs w:val="20"/>
              </w:rPr>
              <w:t xml:space="preserve">Lien avec ShiftGuide</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b/>
                <w:bCs/>
                <w:sz w:val="20"/>
                <w:szCs w:val="20"/>
              </w:rPr>
              <w:t xml:space="preserve">Expiry Check</w:t>
            </w:r>
          </w:p>
        </w:tc>
        <w:tc>
          <w:tcPr>
            <w:tcW w:type="dxa" w:w="328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sz w:val="20"/>
                <w:szCs w:val="20"/>
              </w:rPr>
              <w:t xml:space="preserve">Validité éléments contact produit</w:t>
            </w:r>
          </w:p>
        </w:tc>
        <w:tc>
          <w:tcPr>
            <w:tcW w:type="dxa" w:w="328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color w:val="2E74B5"/>
                <w:sz w:val="20"/>
                <w:szCs w:val="20"/>
              </w:rPr>
              <w:t xml:space="preserve">Accessible depuis la phase Début de cuve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sz w:val="20"/>
                <w:szCs w:val="20"/>
              </w:rPr>
              <w:t xml:space="preserve">Logistics Call</w:t>
            </w:r>
          </w:p>
        </w:tc>
        <w:tc>
          <w:tcPr>
            <w:tcW w:type="dxa" w:w="32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Demandes palettes non suivies</w:t>
            </w:r>
          </w:p>
        </w:tc>
        <w:tc>
          <w:tcPr>
            <w:tcW w:type="dxa" w:w="32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E74B5"/>
                <w:sz w:val="20"/>
                <w:szCs w:val="20"/>
              </w:rPr>
              <w:t xml:space="preserve">Accessible depuis la phase Production</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b/>
                <w:bCs/>
                <w:sz w:val="20"/>
                <w:szCs w:val="20"/>
              </w:rPr>
              <w:t xml:space="preserve">Knowledge Base</w:t>
            </w:r>
          </w:p>
        </w:tc>
        <w:tc>
          <w:tcPr>
            <w:tcW w:type="dxa" w:w="328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sz w:val="20"/>
                <w:szCs w:val="20"/>
              </w:rPr>
              <w:t xml:space="preserve">Accès documentaire lent</w:t>
            </w:r>
          </w:p>
        </w:tc>
        <w:tc>
          <w:tcPr>
            <w:tcW w:type="dxa" w:w="328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color w:val="2E74B5"/>
                <w:sz w:val="20"/>
                <w:szCs w:val="20"/>
              </w:rPr>
              <w:t xml:space="preserve">Complément du Lexique intégré</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sz w:val="20"/>
                <w:szCs w:val="20"/>
              </w:rPr>
              <w:t xml:space="preserve">Packing Calculator</w:t>
            </w:r>
          </w:p>
        </w:tc>
        <w:tc>
          <w:tcPr>
            <w:tcW w:type="dxa" w:w="32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Calcul palettes / cartons / unités</w:t>
            </w:r>
          </w:p>
        </w:tc>
        <w:tc>
          <w:tcPr>
            <w:tcW w:type="dxa" w:w="32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E74B5"/>
                <w:sz w:val="20"/>
                <w:szCs w:val="20"/>
              </w:rPr>
              <w:t xml:space="preserve">Accessible depuis la phase Production / Fin OC</w:t>
            </w:r>
          </w:p>
        </w:tc>
      </w:tr>
    </w:tbl>
    <w:p>
      <w:r>
        <w:br w:type="page"/>
      </w:r>
    </w:p>
    <w:p>
      <w:pPr>
        <w:pStyle w:val="Heading1"/>
        <w:pBdr>
          <w:bottom w:val="single" w:color="1F4E79" w:sz="8" w:space="4"/>
        </w:pBdr>
        <w:spacing w:after="160" w:before="480"/>
      </w:pPr>
      <w:r>
        <w:rPr>
          <w:rFonts w:ascii="Arial" w:cs="Arial" w:eastAsia="Arial" w:hAnsi="Arial"/>
          <w:b/>
          <w:bCs/>
          <w:color w:val="1F4E79"/>
          <w:sz w:val="36"/>
          <w:szCs w:val="36"/>
        </w:rPr>
        <w:t xml:space="preserve">10. Limites assumées</w:t>
      </w:r>
    </w:p>
    <w:p>
      <w:pPr>
        <w:spacing w:after="0" w:before="80"/>
      </w:pPr>
      <w:r>
        <w:t xml:space="preserve"/>
      </w:r>
    </w:p>
    <w:p>
      <w:pPr>
        <w:pStyle w:val="Heading2"/>
        <w:spacing w:after="120" w:before="320"/>
      </w:pPr>
      <w:r>
        <w:rPr>
          <w:rFonts w:ascii="Arial" w:cs="Arial" w:eastAsia="Arial" w:hAnsi="Arial"/>
          <w:b/>
          <w:bCs/>
          <w:color w:val="2E74B5"/>
          <w:sz w:val="28"/>
          <w:szCs w:val="28"/>
        </w:rPr>
        <w:t xml:space="preserve">10.1 Ce que ShiftGuide ne peut pas faire</w:t>
      </w:r>
    </w:p>
    <w:p>
      <w:pPr>
        <w:pStyle w:val="ListParagraph"/>
        <w:numPr>
          <w:ilvl w:val="0"/>
          <w:numId w:val="2"/>
        </w:numPr>
        <w:spacing w:after="60" w:before="60"/>
      </w:pPr>
      <w:r>
        <w:rPr>
          <w:rFonts w:ascii="Arial" w:cs="Arial" w:eastAsia="Arial" w:hAnsi="Arial"/>
          <w:sz w:val="22"/>
          <w:szCs w:val="22"/>
        </w:rPr>
        <w:t xml:space="preserve">Remplacer les systèmes métiers SPI, APRISO, Fapimpec, SOLVACE</w:t>
      </w:r>
    </w:p>
    <w:p>
      <w:pPr>
        <w:pStyle w:val="ListParagraph"/>
        <w:numPr>
          <w:ilvl w:val="0"/>
          <w:numId w:val="2"/>
        </w:numPr>
        <w:spacing w:after="60" w:before="60"/>
      </w:pPr>
      <w:r>
        <w:rPr>
          <w:rFonts w:ascii="Arial" w:cs="Arial" w:eastAsia="Arial" w:hAnsi="Arial"/>
          <w:sz w:val="22"/>
          <w:szCs w:val="22"/>
        </w:rPr>
        <w:t xml:space="preserve">Garantir la conformité réglementaire GMP sans validation procédure</w:t>
      </w:r>
    </w:p>
    <w:p>
      <w:pPr>
        <w:pStyle w:val="ListParagraph"/>
        <w:numPr>
          <w:ilvl w:val="0"/>
          <w:numId w:val="2"/>
        </w:numPr>
        <w:spacing w:after="60" w:before="60"/>
      </w:pPr>
      <w:r>
        <w:rPr>
          <w:rFonts w:ascii="Arial" w:cs="Arial" w:eastAsia="Arial" w:hAnsi="Arial"/>
          <w:sz w:val="22"/>
          <w:szCs w:val="22"/>
        </w:rPr>
        <w:t xml:space="preserve">S’adapter automatiquement à chaque ligne sans paramétrage</w:t>
      </w:r>
    </w:p>
    <w:p>
      <w:pPr>
        <w:pStyle w:val="ListParagraph"/>
        <w:numPr>
          <w:ilvl w:val="0"/>
          <w:numId w:val="2"/>
        </w:numPr>
        <w:spacing w:after="60" w:before="60"/>
      </w:pPr>
      <w:r>
        <w:rPr>
          <w:rFonts w:ascii="Arial" w:cs="Arial" w:eastAsia="Arial" w:hAnsi="Arial"/>
          <w:sz w:val="22"/>
          <w:szCs w:val="22"/>
        </w:rPr>
        <w:t xml:space="preserve">Fonctionner sans adoption terrain réelle</w:t>
      </w:r>
    </w:p>
    <w:p>
      <w:pPr>
        <w:pStyle w:val="ListParagraph"/>
        <w:numPr>
          <w:ilvl w:val="0"/>
          <w:numId w:val="2"/>
        </w:numPr>
        <w:spacing w:after="60" w:before="60"/>
      </w:pPr>
      <w:r>
        <w:rPr>
          <w:rFonts w:ascii="Arial" w:cs="Arial" w:eastAsia="Arial" w:hAnsi="Arial"/>
          <w:sz w:val="22"/>
          <w:szCs w:val="22"/>
        </w:rPr>
        <w:t xml:space="preserve">Remplacer la formation et la compétence de l’opérateur</w:t>
      </w:r>
    </w:p>
    <w:p>
      <w:pPr>
        <w:spacing w:after="0" w:before="80"/>
      </w:pPr>
      <w:r>
        <w:t xml:space="preserve"/>
      </w:r>
    </w:p>
    <w:p>
      <w:pPr>
        <w:pStyle w:val="Heading2"/>
        <w:spacing w:after="120" w:before="320"/>
      </w:pPr>
      <w:r>
        <w:rPr>
          <w:rFonts w:ascii="Arial" w:cs="Arial" w:eastAsia="Arial" w:hAnsi="Arial"/>
          <w:b/>
          <w:bCs/>
          <w:color w:val="2E74B5"/>
          <w:sz w:val="28"/>
          <w:szCs w:val="28"/>
        </w:rPr>
        <w:t xml:space="preserve">10.2 Ce que ShiftGuide n’a pas vocation à faire</w:t>
      </w:r>
    </w:p>
    <w:p>
      <w:pPr>
        <w:pStyle w:val="ListParagraph"/>
        <w:numPr>
          <w:ilvl w:val="0"/>
          <w:numId w:val="2"/>
        </w:numPr>
        <w:spacing w:after="60" w:before="60"/>
      </w:pPr>
      <w:r>
        <w:rPr>
          <w:rFonts w:ascii="Arial" w:cs="Arial" w:eastAsia="Arial" w:hAnsi="Arial"/>
          <w:sz w:val="22"/>
          <w:szCs w:val="22"/>
        </w:rPr>
        <w:t xml:space="preserve">Mesurer la performance individuelle de l’opérateur</w:t>
      </w:r>
    </w:p>
    <w:p>
      <w:pPr>
        <w:pStyle w:val="ListParagraph"/>
        <w:numPr>
          <w:ilvl w:val="0"/>
          <w:numId w:val="2"/>
        </w:numPr>
        <w:spacing w:after="60" w:before="60"/>
      </w:pPr>
      <w:r>
        <w:rPr>
          <w:rFonts w:ascii="Arial" w:cs="Arial" w:eastAsia="Arial" w:hAnsi="Arial"/>
          <w:sz w:val="22"/>
          <w:szCs w:val="22"/>
        </w:rPr>
        <w:t xml:space="preserve">Remplacer le passage de consigne humain</w:t>
      </w:r>
    </w:p>
    <w:p>
      <w:pPr>
        <w:pStyle w:val="ListParagraph"/>
        <w:numPr>
          <w:ilvl w:val="0"/>
          <w:numId w:val="2"/>
        </w:numPr>
        <w:spacing w:after="60" w:before="60"/>
      </w:pPr>
      <w:r>
        <w:rPr>
          <w:rFonts w:ascii="Arial" w:cs="Arial" w:eastAsia="Arial" w:hAnsi="Arial"/>
          <w:sz w:val="22"/>
          <w:szCs w:val="22"/>
        </w:rPr>
        <w:t xml:space="preserve">Générer des alertes management en temps réel sur les actions du conducteur</w:t>
      </w:r>
    </w:p>
    <w:p>
      <w:pPr>
        <w:pStyle w:val="ListParagraph"/>
        <w:numPr>
          <w:ilvl w:val="0"/>
          <w:numId w:val="2"/>
        </w:numPr>
        <w:spacing w:after="60" w:before="60"/>
      </w:pPr>
      <w:r>
        <w:rPr>
          <w:rFonts w:ascii="Arial" w:cs="Arial" w:eastAsia="Arial" w:hAnsi="Arial"/>
          <w:sz w:val="22"/>
          <w:szCs w:val="22"/>
        </w:rPr>
        <w:t xml:space="preserve">Décider à la place de l’opérateur</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D6E4F0" w:val="clear"/>
            <w:tcMar>
              <w:top w:type="dxa" w:w="160"/>
              <w:left w:type="dxa" w:w="240"/>
              <w:bottom w:type="dxa" w:w="160"/>
              <w:right w:type="dxa" w:w="240"/>
            </w:tcMar>
          </w:tcPr>
          <w:p>
            <w:pPr>
              <w:spacing w:after="80" w:before="0"/>
            </w:pPr>
            <w:r>
              <w:rPr>
                <w:rFonts w:ascii="Arial" w:cs="Arial" w:eastAsia="Arial" w:hAnsi="Arial"/>
                <w:b/>
                <w:bCs/>
                <w:color w:val="1F4E79"/>
                <w:sz w:val="20"/>
                <w:szCs w:val="20"/>
              </w:rPr>
              <w:t xml:space="preserve">Principe de conception fondamental</w:t>
            </w:r>
          </w:p>
          <w:p>
            <w:pPr>
              <w:spacing w:after="0" w:before="0"/>
            </w:pPr>
            <w:r>
              <w:rPr>
                <w:rFonts w:ascii="Arial" w:cs="Arial" w:eastAsia="Arial" w:hAnsi="Arial"/>
                <w:i/>
                <w:iCs/>
                <w:sz w:val="22"/>
                <w:szCs w:val="22"/>
              </w:rPr>
              <w:t xml:space="preserve">L’outil doit absorber la complexité répétitive pour laisser au conducteur la décision, la vigilance et l’arbitrage. Jamais l’inverse.</w:t>
            </w:r>
          </w:p>
        </w:tc>
      </w:tr>
    </w:tbl>
    <w:p>
      <w:r>
        <w:br w:type="page"/>
      </w:r>
    </w:p>
    <w:p>
      <w:pPr>
        <w:pStyle w:val="Heading1"/>
        <w:pBdr>
          <w:bottom w:val="single" w:color="1F4E79" w:sz="8" w:space="4"/>
        </w:pBdr>
        <w:spacing w:after="160" w:before="480"/>
      </w:pPr>
      <w:r>
        <w:rPr>
          <w:rFonts w:ascii="Arial" w:cs="Arial" w:eastAsia="Arial" w:hAnsi="Arial"/>
          <w:b/>
          <w:bCs/>
          <w:color w:val="1F4E79"/>
          <w:sz w:val="36"/>
          <w:szCs w:val="36"/>
        </w:rPr>
        <w:t xml:space="preserve">11. Impact opérationnel attendu</w:t>
      </w:r>
    </w:p>
    <w:p>
      <w:pPr>
        <w:spacing w:after="0" w:before="80"/>
      </w:pPr>
      <w:r>
        <w:t xml:space="preserve"/>
      </w:r>
    </w:p>
    <w:p>
      <w:pPr>
        <w:pStyle w:val="Heading2"/>
        <w:spacing w:after="120" w:before="320"/>
      </w:pPr>
      <w:r>
        <w:rPr>
          <w:rFonts w:ascii="Arial" w:cs="Arial" w:eastAsia="Arial" w:hAnsi="Arial"/>
          <w:b/>
          <w:bCs/>
          <w:color w:val="2E74B5"/>
          <w:sz w:val="28"/>
          <w:szCs w:val="28"/>
        </w:rPr>
        <w:t xml:space="preserve">11.1 Réduction de la charge cognitive</w:t>
      </w:r>
    </w:p>
    <w:p>
      <w:pPr>
        <w:pStyle w:val="ListParagraph"/>
        <w:numPr>
          <w:ilvl w:val="0"/>
          <w:numId w:val="2"/>
        </w:numPr>
        <w:spacing w:after="60" w:before="60"/>
      </w:pPr>
      <w:r>
        <w:rPr>
          <w:rFonts w:ascii="Arial" w:cs="Arial" w:eastAsia="Arial" w:hAnsi="Arial"/>
          <w:sz w:val="22"/>
          <w:szCs w:val="22"/>
        </w:rPr>
        <w:t xml:space="preserve">Moins d’étapes portées par la mémoire</w:t>
      </w:r>
    </w:p>
    <w:p>
      <w:pPr>
        <w:pStyle w:val="ListParagraph"/>
        <w:numPr>
          <w:ilvl w:val="0"/>
          <w:numId w:val="2"/>
        </w:numPr>
        <w:spacing w:after="60" w:before="60"/>
      </w:pPr>
      <w:r>
        <w:rPr>
          <w:rFonts w:ascii="Arial" w:cs="Arial" w:eastAsia="Arial" w:hAnsi="Arial"/>
          <w:sz w:val="22"/>
          <w:szCs w:val="22"/>
        </w:rPr>
        <w:t xml:space="preserve">Moins de changements de support (livret → SPI → APRISO → livret)</w:t>
      </w:r>
    </w:p>
    <w:p>
      <w:pPr>
        <w:pStyle w:val="ListParagraph"/>
        <w:numPr>
          <w:ilvl w:val="0"/>
          <w:numId w:val="2"/>
        </w:numPr>
        <w:spacing w:after="60" w:before="60"/>
      </w:pPr>
      <w:r>
        <w:rPr>
          <w:rFonts w:ascii="Arial" w:cs="Arial" w:eastAsia="Arial" w:hAnsi="Arial"/>
          <w:sz w:val="22"/>
          <w:szCs w:val="22"/>
        </w:rPr>
        <w:t xml:space="preserve">Moins d’ambigüité sur l’étape suivante</w:t>
      </w:r>
    </w:p>
    <w:p>
      <w:pPr>
        <w:pStyle w:val="ListParagraph"/>
        <w:numPr>
          <w:ilvl w:val="0"/>
          <w:numId w:val="2"/>
        </w:numPr>
        <w:spacing w:after="60" w:before="60"/>
      </w:pPr>
      <w:r>
        <w:rPr>
          <w:rFonts w:ascii="Arial" w:cs="Arial" w:eastAsia="Arial" w:hAnsi="Arial"/>
          <w:sz w:val="22"/>
          <w:szCs w:val="22"/>
        </w:rPr>
        <w:t xml:space="preserve">Moins de doubles vérifications par incertitude</w:t>
      </w:r>
    </w:p>
    <w:p>
      <w:pPr>
        <w:spacing w:after="0" w:before="80"/>
      </w:pPr>
      <w:r>
        <w:t xml:space="preserve"/>
      </w:r>
    </w:p>
    <w:p>
      <w:pPr>
        <w:pStyle w:val="Heading2"/>
        <w:spacing w:after="120" w:before="320"/>
      </w:pPr>
      <w:r>
        <w:rPr>
          <w:rFonts w:ascii="Arial" w:cs="Arial" w:eastAsia="Arial" w:hAnsi="Arial"/>
          <w:b/>
          <w:bCs/>
          <w:color w:val="2E74B5"/>
          <w:sz w:val="28"/>
          <w:szCs w:val="28"/>
        </w:rPr>
        <w:t xml:space="preserve">11.2 Réduction des erreurs évitables</w:t>
      </w:r>
    </w:p>
    <w:p>
      <w:pPr>
        <w:pStyle w:val="ListParagraph"/>
        <w:numPr>
          <w:ilvl w:val="0"/>
          <w:numId w:val="2"/>
        </w:numPr>
        <w:spacing w:after="60" w:before="60"/>
      </w:pPr>
      <w:r>
        <w:rPr>
          <w:rFonts w:ascii="Arial" w:cs="Arial" w:eastAsia="Arial" w:hAnsi="Arial"/>
          <w:sz w:val="22"/>
          <w:szCs w:val="22"/>
        </w:rPr>
        <w:t xml:space="preserve">Étapes critiques non sautables silencieusement</w:t>
      </w:r>
    </w:p>
    <w:p>
      <w:pPr>
        <w:pStyle w:val="ListParagraph"/>
        <w:numPr>
          <w:ilvl w:val="0"/>
          <w:numId w:val="2"/>
        </w:numPr>
        <w:spacing w:after="60" w:before="60"/>
      </w:pPr>
      <w:r>
        <w:rPr>
          <w:rFonts w:ascii="Arial" w:cs="Arial" w:eastAsia="Arial" w:hAnsi="Arial"/>
          <w:sz w:val="22"/>
          <w:szCs w:val="22"/>
        </w:rPr>
        <w:t xml:space="preserve">Type de changement OC identifié avant action</w:t>
      </w:r>
    </w:p>
    <w:p>
      <w:pPr>
        <w:pStyle w:val="ListParagraph"/>
        <w:numPr>
          <w:ilvl w:val="0"/>
          <w:numId w:val="2"/>
        </w:numPr>
        <w:spacing w:after="60" w:before="60"/>
      </w:pPr>
      <w:r>
        <w:rPr>
          <w:rFonts w:ascii="Arial" w:cs="Arial" w:eastAsia="Arial" w:hAnsi="Arial"/>
          <w:sz w:val="22"/>
          <w:szCs w:val="22"/>
        </w:rPr>
        <w:t xml:space="preserve">Prélèvements et contrôles rappelés au moment exact où ils sont nécessaires</w:t>
      </w:r>
    </w:p>
    <w:p>
      <w:pPr>
        <w:pStyle w:val="ListParagraph"/>
        <w:numPr>
          <w:ilvl w:val="0"/>
          <w:numId w:val="2"/>
        </w:numPr>
        <w:spacing w:after="60" w:before="60"/>
      </w:pPr>
      <w:r>
        <w:rPr>
          <w:rFonts w:ascii="Arial" w:cs="Arial" w:eastAsia="Arial" w:hAnsi="Arial"/>
          <w:sz w:val="22"/>
          <w:szCs w:val="22"/>
        </w:rPr>
        <w:t xml:space="preserve">Références vérifiées avec contexte visible</w:t>
      </w:r>
    </w:p>
    <w:p>
      <w:pPr>
        <w:spacing w:after="0" w:before="80"/>
      </w:pPr>
      <w:r>
        <w:t xml:space="preserve"/>
      </w:r>
    </w:p>
    <w:p>
      <w:pPr>
        <w:pStyle w:val="Heading2"/>
        <w:spacing w:after="120" w:before="320"/>
      </w:pPr>
      <w:r>
        <w:rPr>
          <w:rFonts w:ascii="Arial" w:cs="Arial" w:eastAsia="Arial" w:hAnsi="Arial"/>
          <w:b/>
          <w:bCs/>
          <w:color w:val="2E74B5"/>
          <w:sz w:val="28"/>
          <w:szCs w:val="28"/>
        </w:rPr>
        <w:t xml:space="preserve">11.3 Meilleure continuité opérationnelle</w:t>
      </w:r>
    </w:p>
    <w:p>
      <w:pPr>
        <w:pStyle w:val="ListParagraph"/>
        <w:numPr>
          <w:ilvl w:val="0"/>
          <w:numId w:val="2"/>
        </w:numPr>
        <w:spacing w:after="60" w:before="60"/>
      </w:pPr>
      <w:r>
        <w:rPr>
          <w:rFonts w:ascii="Arial" w:cs="Arial" w:eastAsia="Arial" w:hAnsi="Arial"/>
          <w:sz w:val="22"/>
          <w:szCs w:val="22"/>
        </w:rPr>
        <w:t xml:space="preserve">Passage de consigne structuré et traçable</w:t>
      </w:r>
    </w:p>
    <w:p>
      <w:pPr>
        <w:pStyle w:val="ListParagraph"/>
        <w:numPr>
          <w:ilvl w:val="0"/>
          <w:numId w:val="2"/>
        </w:numPr>
        <w:spacing w:after="60" w:before="60"/>
      </w:pPr>
      <w:r>
        <w:rPr>
          <w:rFonts w:ascii="Arial" w:cs="Arial" w:eastAsia="Arial" w:hAnsi="Arial"/>
          <w:sz w:val="22"/>
          <w:szCs w:val="22"/>
        </w:rPr>
        <w:t xml:space="preserve">Historique de poste disponible sans effort</w:t>
      </w:r>
    </w:p>
    <w:p>
      <w:pPr>
        <w:pStyle w:val="ListParagraph"/>
        <w:numPr>
          <w:ilvl w:val="0"/>
          <w:numId w:val="2"/>
        </w:numPr>
        <w:spacing w:after="60" w:before="60"/>
      </w:pPr>
      <w:r>
        <w:rPr>
          <w:rFonts w:ascii="Arial" w:cs="Arial" w:eastAsia="Arial" w:hAnsi="Arial"/>
          <w:sz w:val="22"/>
          <w:szCs w:val="22"/>
        </w:rPr>
        <w:t xml:space="preserve">Réduction du temps de montée en charge pour les opérateurs moins expérimentés</w:t>
      </w:r>
    </w:p>
    <w:p>
      <w:pPr>
        <w:pStyle w:val="ListParagraph"/>
        <w:numPr>
          <w:ilvl w:val="0"/>
          <w:numId w:val="2"/>
        </w:numPr>
        <w:spacing w:after="60" w:before="60"/>
      </w:pPr>
      <w:r>
        <w:rPr>
          <w:rFonts w:ascii="Arial" w:cs="Arial" w:eastAsia="Arial" w:hAnsi="Arial"/>
          <w:sz w:val="22"/>
          <w:szCs w:val="22"/>
        </w:rPr>
        <w:t xml:space="preserve">Standardisation de l’exécution sans rigidifier la décision</w:t>
      </w:r>
    </w:p>
    <w:p>
      <w:r>
        <w:br w:type="page"/>
      </w:r>
    </w:p>
    <w:p>
      <w:pPr>
        <w:pStyle w:val="Heading1"/>
        <w:pBdr>
          <w:bottom w:val="single" w:color="1F4E79" w:sz="8" w:space="4"/>
        </w:pBdr>
        <w:spacing w:after="160" w:before="480"/>
      </w:pPr>
      <w:r>
        <w:rPr>
          <w:rFonts w:ascii="Arial" w:cs="Arial" w:eastAsia="Arial" w:hAnsi="Arial"/>
          <w:b/>
          <w:bCs/>
          <w:color w:val="1F4E79"/>
          <w:sz w:val="36"/>
          <w:szCs w:val="36"/>
        </w:rPr>
        <w:t xml:space="preserve">12. Résumé définitif</w:t>
      </w:r>
    </w:p>
    <w:p>
      <w:pPr>
        <w:spacing w:after="0" w:before="160"/>
      </w:pPr>
      <w:r>
        <w:t xml:space="preserve"/>
      </w:r>
    </w:p>
    <w:p>
      <w:pPr>
        <w:spacing w:after="160" w:before="160"/>
        <w:jc w:val="center"/>
      </w:pPr>
      <w:r>
        <w:rPr>
          <w:rFonts w:ascii="Arial" w:cs="Arial" w:eastAsia="Arial" w:hAnsi="Arial"/>
          <w:b/>
          <w:bCs/>
          <w:i/>
          <w:iCs/>
          <w:color w:val="1F4E79"/>
          <w:sz w:val="26"/>
          <w:szCs w:val="26"/>
        </w:rPr>
        <w:t xml:space="preserve">ShiftGuide est conçu non pour afficher le livret, mais pour empêcher l’effondrement du flux d’action dans un poste où la charge est réelle, constante et invisible.</w:t>
      </w:r>
    </w:p>
    <w:p>
      <w:pPr>
        <w:spacing w:after="0" w:before="160"/>
      </w:pPr>
      <w:r>
        <w:t xml:space="preserve"/>
      </w:r>
    </w:p>
    <w:p>
      <w:pPr>
        <w:spacing w:after="80" w:before="80"/>
      </w:pPr>
      <w:r>
        <w:rPr>
          <w:rFonts w:ascii="Arial" w:cs="Arial" w:eastAsia="Arial" w:hAnsi="Arial"/>
          <w:sz w:val="22"/>
          <w:szCs w:val="22"/>
        </w:rPr>
        <w:t xml:space="preserve">Un poste de conditionnement ne se pilote pas uniquement par la machine. Il se pilote par l’enchaînement continu de décisions humaines : vérifier, valider, déclarer, contrôler, appeler, calculer, réagir.</w:t>
      </w:r>
    </w:p>
    <w:p>
      <w:pPr>
        <w:spacing w:after="0" w:before="80"/>
      </w:pPr>
      <w:r>
        <w:t xml:space="preserve"/>
      </w:r>
    </w:p>
    <w:p>
      <w:pPr>
        <w:spacing w:after="80" w:before="80"/>
      </w:pPr>
      <w:r>
        <w:rPr>
          <w:rFonts w:ascii="Arial" w:cs="Arial" w:eastAsia="Arial" w:hAnsi="Arial"/>
          <w:sz w:val="22"/>
          <w:szCs w:val="22"/>
        </w:rPr>
        <w:t xml:space="preserve">La performance de la ligne dépend donc autant de la cadence machine que de la qualité du système qui entoure le conducteur.</w:t>
      </w:r>
    </w:p>
    <w:p>
      <w:pPr>
        <w:spacing w:after="0" w:before="80"/>
      </w:pPr>
      <w:r>
        <w:t xml:space="preserve"/>
      </w:r>
    </w:p>
    <w:p>
      <w:pPr>
        <w:spacing w:after="80" w:before="80"/>
      </w:pPr>
      <w:r>
        <w:rPr>
          <w:rFonts w:ascii="Arial" w:cs="Arial" w:eastAsia="Arial" w:hAnsi="Arial"/>
          <w:sz w:val="22"/>
          <w:szCs w:val="22"/>
        </w:rPr>
        <w:t xml:space="preserve">ShiftGuide est ce système.</w:t>
      </w:r>
    </w:p>
    <w:p>
      <w:pPr>
        <w:spacing w:after="0" w:before="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F4E79" w:val="clear"/>
            <w:tcMar>
              <w:top w:type="dxa" w:w="320"/>
              <w:left w:type="dxa" w:w="360"/>
              <w:bottom w:type="dxa" w:w="320"/>
              <w:right w:type="dxa" w:w="360"/>
            </w:tcMar>
          </w:tcPr>
          <w:p>
            <w:pPr>
              <w:spacing w:after="80" w:before="0"/>
              <w:jc w:val="center"/>
            </w:pPr>
            <w:r>
              <w:rPr>
                <w:rFonts w:ascii="Arial" w:cs="Arial" w:eastAsia="Arial" w:hAnsi="Arial"/>
                <w:b/>
                <w:bCs/>
                <w:color w:val="FFFFFF"/>
                <w:sz w:val="24"/>
                <w:szCs w:val="24"/>
              </w:rPr>
              <w:t xml:space="preserve">Ce que ShiftGuide garantit :</w:t>
            </w:r>
          </w:p>
          <w:p>
            <w:pPr>
              <w:spacing w:after="80" w:before="80"/>
              <w:jc w:val="center"/>
            </w:pPr>
            <w:r>
              <w:rPr>
                <w:rFonts w:ascii="Arial" w:cs="Arial" w:eastAsia="Arial" w:hAnsi="Arial"/>
                <w:i/>
                <w:iCs/>
                <w:color w:val="D6E4F0"/>
                <w:sz w:val="22"/>
                <w:szCs w:val="22"/>
              </w:rPr>
              <w:t xml:space="preserve">Une progression guidée — Une traçabilité sans surcharge — Une réduction de la charge cognitive</w:t>
            </w:r>
          </w:p>
          <w:p>
            <w:pPr>
              <w:spacing w:after="0" w:before="80"/>
              <w:jc w:val="center"/>
            </w:pPr>
            <w:r>
              <w:rPr>
                <w:rFonts w:ascii="Arial" w:cs="Arial" w:eastAsia="Arial" w:hAnsi="Arial"/>
                <w:i/>
                <w:iCs/>
                <w:color w:val="D6E4F0"/>
                <w:sz w:val="22"/>
                <w:szCs w:val="22"/>
              </w:rPr>
              <w:t xml:space="preserve">Une information contextuelle — Un flux qui avance</w:t>
            </w:r>
          </w:p>
        </w:tc>
      </w:tr>
    </w:tbl>
    <w:p>
      <w:pPr>
        <w:spacing w:after="0" w:before="240"/>
      </w:pPr>
      <w:r>
        <w:t xml:space="preserve"/>
      </w:r>
    </w:p>
    <w:p>
      <w:pPr>
        <w:spacing w:after="40" w:before="0"/>
        <w:jc w:val="center"/>
      </w:pPr>
      <w:r>
        <w:rPr>
          <w:rFonts w:ascii="Arial" w:cs="Arial" w:eastAsia="Arial" w:hAnsi="Arial"/>
          <w:color w:val="999999"/>
          <w:sz w:val="20"/>
          <w:szCs w:val="20"/>
        </w:rPr>
        <w:t xml:space="preserve">LineOps Toolkit — ShiftGuide</w:t>
      </w:r>
    </w:p>
    <w:p>
      <w:pPr>
        <w:spacing w:after="0" w:before="0"/>
        <w:jc w:val="center"/>
      </w:pPr>
      <w:r>
        <w:rPr>
          <w:rFonts w:ascii="Arial" w:cs="Arial" w:eastAsia="Arial" w:hAnsi="Arial"/>
          <w:color w:val="BBBBBB"/>
          <w:sz w:val="18"/>
          <w:szCs w:val="18"/>
        </w:rPr>
        <w:t xml:space="preserve">Akik Systems — www.akiksystems.com — contact@akiksystems.com</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600" w:hanging="300"/>
      </w:pPr>
    </w:lvl>
  </w:abstractNum>
  <w:abstractNum w:abstractNumId="3" w15:restartNumberingAfterBreak="0">
    <w:multiLevelType w:val="hybridMultilevel"/>
    <w:lvl w:ilvl="0" w15:tentative="1">
      <w:start w:val="1"/>
      <w:numFmt w:val="decimal"/>
      <w:lvlText w:val="%1."/>
      <w:lvlJc w:val="left"/>
      <w:pPr>
        <w:ind w:left="600" w:hanging="30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480"/>
      <w:outlineLvl w:val="0"/>
    </w:pPr>
    <w:rPr>
      <w:rFonts w:ascii="Arial" w:cs="Arial" w:eastAsia="Arial" w:hAnsi="Arial"/>
      <w:b/>
      <w:bCs/>
      <w:color w:val="1F4E79"/>
      <w:sz w:val="36"/>
      <w:szCs w:val="36"/>
    </w:rPr>
  </w:style>
  <w:style w:type="paragraph" w:styleId="Heading2">
    <w:name w:val="Heading 2"/>
    <w:basedOn w:val="Normal"/>
    <w:next w:val="Normal"/>
    <w:qFormat/>
    <w:pPr>
      <w:spacing w:after="120" w:before="320"/>
      <w:outlineLvl w:val="1"/>
    </w:pPr>
    <w:rPr>
      <w:rFonts w:ascii="Arial" w:cs="Arial" w:eastAsia="Arial" w:hAnsi="Arial"/>
      <w:b/>
      <w:bCs/>
      <w:color w:val="2E74B5"/>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2026-06-03T21:54:39.837Z</dcterms:created>
  <dcterms:modified xsi:type="dcterms:W3CDTF">2026-06-03T21:54:39.837Z</dcterms:modified>
</cp:coreProperties>
</file>

<file path=docProps/custom.xml><?xml version="1.0" encoding="utf-8"?>
<Properties xmlns="http://schemas.openxmlformats.org/officeDocument/2006/custom-properties" xmlns:vt="http://schemas.openxmlformats.org/officeDocument/2006/docPropsVTypes"/>
</file>