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40" w:rsidRDefault="00AC77E6" w:rsidP="00AC77E6">
      <w:pPr>
        <w:jc w:val="center"/>
        <w:rPr>
          <w:b/>
          <w:bCs/>
          <w:lang w:val="en-US"/>
        </w:rPr>
      </w:pPr>
      <w:r w:rsidRPr="001F2CFB">
        <w:rPr>
          <w:b/>
          <w:bCs/>
        </w:rPr>
        <w:t xml:space="preserve">Theory : </w:t>
      </w:r>
      <w:r w:rsidRPr="001F2CFB">
        <w:rPr>
          <w:b/>
          <w:bCs/>
          <w:lang w:val="en-US"/>
        </w:rPr>
        <w:t>Technical</w:t>
      </w:r>
      <w:r w:rsidRPr="001F2CFB">
        <w:rPr>
          <w:b/>
          <w:bCs/>
        </w:rPr>
        <w:t xml:space="preserve"> </w:t>
      </w:r>
      <w:r w:rsidRPr="001F2CFB">
        <w:rPr>
          <w:b/>
          <w:bCs/>
          <w:lang w:val="en-US"/>
        </w:rPr>
        <w:t>indicators</w:t>
      </w:r>
      <w:r w:rsidRPr="001F2CFB">
        <w:rPr>
          <w:b/>
          <w:bCs/>
        </w:rPr>
        <w:t xml:space="preserve"> / </w:t>
      </w:r>
      <w:r w:rsidRPr="001F2CFB">
        <w:rPr>
          <w:b/>
          <w:bCs/>
          <w:lang w:val="en-US"/>
        </w:rPr>
        <w:t>buy &amp; sell signals</w:t>
      </w:r>
    </w:p>
    <w:p w:rsidR="001F2CFB" w:rsidRPr="001F2CFB" w:rsidRDefault="001F2CFB" w:rsidP="001F2CFB">
      <w:pPr>
        <w:jc w:val="right"/>
        <w:rPr>
          <w:i/>
          <w:iCs/>
          <w:lang w:val="en-US"/>
        </w:rPr>
      </w:pPr>
      <w:r w:rsidRPr="001F2CFB">
        <w:rPr>
          <w:i/>
          <w:iCs/>
          <w:lang w:val="en-US"/>
        </w:rPr>
        <w:t>By: ANDAM AMINE</w:t>
      </w:r>
    </w:p>
    <w:p w:rsidR="001F2CFB" w:rsidRDefault="001F2CFB" w:rsidP="001F2CFB">
      <w:pPr>
        <w:jc w:val="right"/>
        <w:rPr>
          <w:i/>
          <w:iCs/>
          <w:lang w:val="en-US"/>
        </w:rPr>
      </w:pPr>
      <w:r w:rsidRPr="001F2CFB">
        <w:rPr>
          <w:i/>
          <w:iCs/>
          <w:lang w:val="en-US"/>
        </w:rPr>
        <w:t xml:space="preserve">Email: </w:t>
      </w:r>
      <w:hyperlink r:id="rId6" w:history="1">
        <w:r w:rsidRPr="001F2CFB">
          <w:rPr>
            <w:rStyle w:val="Lienhypertexte"/>
            <w:i/>
            <w:iCs/>
            <w:lang w:val="en-US"/>
          </w:rPr>
          <w:t>andamamine83@gmail.com</w:t>
        </w:r>
      </w:hyperlink>
      <w:r w:rsidRPr="001F2CFB">
        <w:rPr>
          <w:i/>
          <w:iCs/>
          <w:lang w:val="en-US"/>
        </w:rPr>
        <w:t xml:space="preserve"> </w:t>
      </w:r>
    </w:p>
    <w:p w:rsidR="001F2CFB" w:rsidRPr="001F2CFB" w:rsidRDefault="001F2CFB" w:rsidP="001F2CFB">
      <w:pPr>
        <w:jc w:val="right"/>
        <w:rPr>
          <w:i/>
          <w:iCs/>
          <w:lang w:val="en-US"/>
        </w:rPr>
      </w:pPr>
      <w:r>
        <w:rPr>
          <w:i/>
          <w:iCs/>
          <w:lang w:val="en-US"/>
        </w:rPr>
        <w:t>2020</w:t>
      </w:r>
    </w:p>
    <w:p w:rsidR="00AC77E6" w:rsidRDefault="00AC77E6" w:rsidP="00AC77E6">
      <w:pPr>
        <w:rPr>
          <w:lang w:val="en-US"/>
        </w:rPr>
      </w:pPr>
      <w:r>
        <w:rPr>
          <w:lang w:val="en-US"/>
        </w:rPr>
        <w:t xml:space="preserve">Table 1 and Table 2 contain all the information we need to calculate technical indicators and generate buy and sell signals. </w:t>
      </w:r>
    </w:p>
    <w:p w:rsidR="00AC77E6" w:rsidRDefault="00AC77E6" w:rsidP="00AC77E6">
      <w:pPr>
        <w:pStyle w:val="Lgende"/>
        <w:keepNext/>
        <w:jc w:val="center"/>
      </w:pPr>
      <w:r>
        <w:t xml:space="preserve">Table </w:t>
      </w:r>
      <w:fldSimple w:instr=" SEQ Table \* ARABIC ">
        <w:r w:rsidR="001F2CFB">
          <w:rPr>
            <w:noProof/>
          </w:rPr>
          <w:t>1</w:t>
        </w:r>
      </w:fldSimple>
      <w:r>
        <w:rPr>
          <w:noProof/>
        </w:rPr>
        <w:t xml:space="preserve"> Technical Indicators</w:t>
      </w:r>
    </w:p>
    <w:tbl>
      <w:tblPr>
        <w:tblStyle w:val="Grilledutableau"/>
        <w:tblW w:w="10990" w:type="dxa"/>
        <w:tblInd w:w="-789" w:type="dxa"/>
        <w:tblLook w:val="04A0" w:firstRow="1" w:lastRow="0" w:firstColumn="1" w:lastColumn="0" w:noHBand="0" w:noVBand="1"/>
      </w:tblPr>
      <w:tblGrid>
        <w:gridCol w:w="2060"/>
        <w:gridCol w:w="1701"/>
        <w:gridCol w:w="1843"/>
        <w:gridCol w:w="5386"/>
      </w:tblGrid>
      <w:tr w:rsidR="00AC77E6" w:rsidRPr="00AC77E6" w:rsidTr="00DE6263">
        <w:tc>
          <w:tcPr>
            <w:tcW w:w="2060" w:type="dxa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Indicator</w:t>
            </w:r>
          </w:p>
        </w:tc>
        <w:tc>
          <w:tcPr>
            <w:tcW w:w="1701" w:type="dxa"/>
          </w:tcPr>
          <w:p w:rsidR="00AC77E6" w:rsidRPr="00AC77E6" w:rsidRDefault="001F2CFB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843" w:type="dxa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Conditions</w:t>
            </w:r>
          </w:p>
        </w:tc>
        <w:tc>
          <w:tcPr>
            <w:tcW w:w="5386" w:type="dxa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Formula</w:t>
            </w:r>
          </w:p>
        </w:tc>
      </w:tr>
      <w:tr w:rsidR="00AC77E6" w:rsidRPr="00AC77E6" w:rsidTr="00DE6263">
        <w:trPr>
          <w:trHeight w:val="2271"/>
        </w:trPr>
        <w:tc>
          <w:tcPr>
            <w:tcW w:w="2060" w:type="dxa"/>
            <w:shd w:val="clear" w:color="auto" w:fill="FFFFFF" w:themeFill="background1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 /Re</w:t>
            </w:r>
            <w:r w:rsidRPr="00AC77E6">
              <w:rPr>
                <w:lang w:val="en-US"/>
              </w:rPr>
              <w:t>sistance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AC77E6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 xml:space="preserve">n : </w:t>
            </w:r>
            <w:r>
              <w:rPr>
                <w:lang w:val="en-US"/>
              </w:rPr>
              <w:t>interval length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Support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(t)=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 . . 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t-n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AC77E6" w:rsidRPr="00AC77E6" w:rsidRDefault="00AC77E6" w:rsidP="00DE6263">
            <w:pPr>
              <w:bidi/>
              <w:contextualSpacing/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bidi/>
              <w:contextualSpacing/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Resistance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(t)=max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. . 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t-n</m:t>
                        </m:r>
                      </m:sub>
                    </m:sSub>
                  </m:e>
                </m:d>
              </m:oMath>
            </m:oMathPara>
          </w:p>
        </w:tc>
      </w:tr>
      <w:tr w:rsidR="00AC77E6" w:rsidRPr="00AC77E6" w:rsidTr="00DE6263"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 Moving Average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 xml:space="preserve">n : </w:t>
            </w:r>
            <w:r>
              <w:rPr>
                <w:lang w:val="en-US"/>
              </w:rPr>
              <w:t>Order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+. . .+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t-n+1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</w:tr>
      <w:tr w:rsidR="00AC77E6" w:rsidRPr="00AC77E6" w:rsidTr="00DE6263">
        <w:trPr>
          <w:trHeight w:val="1500"/>
        </w:trPr>
        <w:tc>
          <w:tcPr>
            <w:tcW w:w="2060" w:type="dxa"/>
            <w:vAlign w:val="center"/>
          </w:tcPr>
          <w:p w:rsidR="00AC77E6" w:rsidRPr="00AC77E6" w:rsidRDefault="00AC77E6" w:rsidP="00AC7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Exponential Moving Average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AC77E6">
            <w:pPr>
              <w:jc w:val="center"/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λ : </w:t>
            </w:r>
            <w:r>
              <w:rPr>
                <w:rFonts w:eastAsiaTheme="minorEastAsia"/>
                <w:lang w:val="en-US"/>
              </w:rPr>
              <w:t>factor</w:t>
            </w: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n : </w:t>
            </w:r>
            <w:r>
              <w:rPr>
                <w:rFonts w:eastAsiaTheme="minorEastAsia"/>
                <w:lang w:val="en-US"/>
              </w:rPr>
              <w:t>Order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0≤λ≤1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n+1≤t≤l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1F2CFB" w:rsidP="001F2CFB">
            <w:pPr>
              <w:rPr>
                <w:lang w:val="en-US"/>
              </w:rPr>
            </w:pPr>
            <w:r>
              <w:rPr>
                <w:lang w:val="en-US"/>
              </w:rPr>
              <w:t>With</w:t>
            </w:r>
            <w:r w:rsidR="00AC77E6" w:rsidRPr="00AC77E6">
              <w:rPr>
                <w:lang w:val="en-US"/>
              </w:rPr>
              <w:t xml:space="preserve"> : </w:t>
            </w:r>
            <w:r>
              <w:rPr>
                <w:lang w:val="en-US"/>
              </w:rPr>
              <w:t xml:space="preserve">              </w:t>
            </w:r>
            <w:r w:rsidR="00AC77E6" w:rsidRPr="00AC77E6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MME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n,λ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MMS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(n)</m:t>
              </m:r>
            </m:oMath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</w:tr>
      <w:tr w:rsidR="00AC77E6" w:rsidRPr="00AC77E6" w:rsidTr="00DE6263">
        <w:trPr>
          <w:trHeight w:val="1280"/>
        </w:trPr>
        <w:tc>
          <w:tcPr>
            <w:tcW w:w="2060" w:type="dxa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MACD</w:t>
            </w:r>
            <w:r w:rsidRPr="00AC77E6">
              <w:rPr>
                <w:vertAlign w:val="superscript"/>
                <w:lang w:val="en-US"/>
              </w:rPr>
              <w:footnoteReference w:id="1"/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</m:oMath>
            <w:r w:rsidRPr="00AC77E6">
              <w:rPr>
                <w:rFonts w:eastAsiaTheme="minorEastAsia"/>
                <w:lang w:val="en-US"/>
              </w:rPr>
              <w:t>: ordre</w:t>
            </w: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Pr="00AC77E6">
              <w:rPr>
                <w:rFonts w:eastAsiaTheme="minorEastAsia"/>
                <w:lang w:val="en-US"/>
              </w:rPr>
              <w:t xml:space="preserve"> ordre</w:t>
            </w:r>
          </w:p>
          <w:p w:rsidR="00AC77E6" w:rsidRPr="00AC77E6" w:rsidRDefault="00AC77E6" w:rsidP="00AC77E6">
            <w:pPr>
              <w:jc w:val="center"/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λ : </w:t>
            </w:r>
            <w:r>
              <w:rPr>
                <w:rFonts w:eastAsiaTheme="minorEastAsia"/>
                <w:lang w:val="en-US"/>
              </w:rPr>
              <w:t>factor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contextualSpacing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</w:tr>
      <w:tr w:rsidR="00AC77E6" w:rsidRPr="00AC77E6" w:rsidTr="00DE6263">
        <w:trPr>
          <w:trHeight w:val="987"/>
        </w:trPr>
        <w:tc>
          <w:tcPr>
            <w:tcW w:w="2060" w:type="dxa"/>
            <w:vMerge/>
          </w:tcPr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</m:oMath>
            <w:r w:rsidRPr="00AC77E6">
              <w:rPr>
                <w:rFonts w:eastAsiaTheme="minorEastAsia"/>
                <w:lang w:val="en-US"/>
              </w:rPr>
              <w:t>: ordre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sig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>Signal line :</w:t>
            </w:r>
            <w:r w:rsidRPr="00AC77E6">
              <w:rPr>
                <w:rFonts w:eastAsiaTheme="minorEastAsia"/>
                <w:vertAlign w:val="superscript"/>
                <w:lang w:val="en-US"/>
              </w:rPr>
              <w:footnoteReference w:id="2"/>
            </w:r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,λ</m:t>
                    </m:r>
                  </m:sub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MACD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</w:tr>
      <w:tr w:rsidR="00AC77E6" w:rsidRPr="00AC77E6" w:rsidTr="00DE6263"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 xml:space="preserve"> Relative Strength Index (RSI)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 xml:space="preserve">n : </w:t>
            </w:r>
            <w:r w:rsidRPr="00AC77E6">
              <w:rPr>
                <w:lang w:val="en-US"/>
              </w:rPr>
              <w:t>order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n&lt;t≤l</m:t>
                </m:r>
              </m:oMath>
            </m:oMathPara>
          </w:p>
        </w:tc>
        <w:tc>
          <w:tcPr>
            <w:tcW w:w="5386" w:type="dxa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RSI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t-i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t-i-1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t-i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t-i-1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}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</m:e>
                    </m:nary>
                  </m:den>
                </m:f>
              </m:oMath>
            </m:oMathPara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</w:tr>
      <w:tr w:rsidR="00AC77E6" w:rsidRPr="00AC77E6" w:rsidTr="00DE6263">
        <w:trPr>
          <w:trHeight w:val="3785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lastRenderedPageBreak/>
              <w:t>Bollinger</w:t>
            </w:r>
            <w:r>
              <w:rPr>
                <w:lang w:val="en-US"/>
              </w:rPr>
              <w:t xml:space="preserve"> Bands</w:t>
            </w:r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ω </m:t>
              </m:r>
            </m:oMath>
            <w:r w:rsidRPr="00AC77E6">
              <w:rPr>
                <w:rFonts w:eastAsiaTheme="minorEastAsia"/>
                <w:lang w:val="en-US"/>
              </w:rPr>
              <w:t>: ordre</w:t>
            </w:r>
          </w:p>
          <w:p w:rsidR="00AC77E6" w:rsidRPr="00AC77E6" w:rsidRDefault="00AC77E6" w:rsidP="001F2CFB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k </m:t>
              </m:r>
            </m:oMath>
            <w:r>
              <w:rPr>
                <w:rFonts w:eastAsiaTheme="minorEastAsia"/>
                <w:lang w:val="en-US"/>
              </w:rPr>
              <w:t xml:space="preserve">: </w:t>
            </w:r>
            <w:r w:rsidR="001F2CFB">
              <w:rPr>
                <w:rFonts w:eastAsiaTheme="minorEastAsia"/>
                <w:lang w:val="en-US"/>
              </w:rPr>
              <w:t>parameter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(t)=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(t)  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low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(t)=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1F2CFB" w:rsidP="001F2CFB">
            <w:pPr>
              <w:rPr>
                <w:lang w:val="en-US"/>
              </w:rPr>
            </w:pPr>
            <w:r>
              <w:rPr>
                <w:lang w:val="en-US"/>
              </w:rPr>
              <w:t>With</w:t>
            </w:r>
            <w:r w:rsidR="00AC77E6" w:rsidRPr="00AC77E6">
              <w:rPr>
                <w:lang w:val="en-US"/>
              </w:rPr>
              <w:t> :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i=t-ω+1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(i))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rad>
              </m:oMath>
            </m:oMathPara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</w:tr>
      <w:tr w:rsidR="00AC77E6" w:rsidRPr="00AC77E6" w:rsidTr="00DE6263">
        <w:trPr>
          <w:trHeight w:val="699"/>
        </w:trPr>
        <w:tc>
          <w:tcPr>
            <w:tcW w:w="2060" w:type="dxa"/>
            <w:vMerge w:val="restart"/>
            <w:tcBorders>
              <w:top w:val="single" w:sz="4" w:space="0" w:color="auto"/>
            </w:tcBorders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Momentum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ω </m:t>
              </m:r>
            </m:oMath>
            <w:r w:rsidRPr="00AC77E6">
              <w:rPr>
                <w:rFonts w:ascii="Calibri" w:eastAsia="Calibri" w:hAnsi="Calibri" w:cs="Arial"/>
                <w:lang w:val="en-US"/>
              </w:rPr>
              <w:t>: ordre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contextualSpacing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MOM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t-ω</m:t>
                    </m:r>
                  </m:sub>
                </m:sSub>
              </m:oMath>
            </m:oMathPara>
          </w:p>
        </w:tc>
      </w:tr>
      <w:tr w:rsidR="00AC77E6" w:rsidRPr="00AC77E6" w:rsidTr="00DE6263">
        <w:trPr>
          <w:trHeight w:val="1084"/>
        </w:trPr>
        <w:tc>
          <w:tcPr>
            <w:tcW w:w="2060" w:type="dxa"/>
            <w:vMerge/>
          </w:tcPr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Pr="00AC77E6">
              <w:rPr>
                <w:rFonts w:ascii="Calibri" w:eastAsia="Calibri" w:hAnsi="Calibri" w:cs="Arial"/>
                <w:lang w:val="en-US"/>
              </w:rPr>
              <w:t xml:space="preserve"> ordre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sig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+ω≤t≤l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rPr>
                <w:rFonts w:ascii="Calibri" w:eastAsia="Calibri" w:hAnsi="Calibri" w:cs="Arial"/>
                <w:lang w:val="en-US"/>
              </w:rPr>
            </w:pPr>
            <w:r w:rsidRPr="00AC77E6">
              <w:rPr>
                <w:rFonts w:ascii="Calibri" w:eastAsia="Calibri" w:hAnsi="Calibri" w:cs="Arial"/>
                <w:lang w:val="en-US"/>
              </w:rPr>
              <w:t>Signal line :</w:t>
            </w:r>
          </w:p>
          <w:p w:rsidR="00AC77E6" w:rsidRPr="00AC77E6" w:rsidRDefault="00AC77E6" w:rsidP="00DE6263">
            <w:pPr>
              <w:contextualSpacing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MOM</m:t>
                    </m:r>
                  </m:sup>
                </m:sSubSup>
              </m:oMath>
            </m:oMathPara>
          </w:p>
        </w:tc>
      </w:tr>
      <w:tr w:rsidR="00AC77E6" w:rsidRPr="00AC77E6" w:rsidTr="00DE6263">
        <w:trPr>
          <w:trHeight w:val="889"/>
        </w:trPr>
        <w:tc>
          <w:tcPr>
            <w:tcW w:w="2060" w:type="dxa"/>
            <w:vAlign w:val="bottom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Rate of Change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(ROC)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ω </m:t>
              </m:r>
            </m:oMath>
            <w:r w:rsidRPr="00AC77E6">
              <w:rPr>
                <w:rFonts w:eastAsiaTheme="minorEastAsia"/>
                <w:lang w:val="en-US"/>
              </w:rPr>
              <w:t>: ordre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=100×(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i-ω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t-ω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AC77E6" w:rsidRPr="00AC77E6" w:rsidTr="00DE6263">
        <w:trPr>
          <w:trHeight w:val="1057"/>
        </w:trPr>
        <w:tc>
          <w:tcPr>
            <w:tcW w:w="2060" w:type="dxa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Stochastic </w:t>
            </w:r>
          </w:p>
        </w:tc>
        <w:tc>
          <w:tcPr>
            <w:tcW w:w="1701" w:type="dxa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ω,n </m:t>
              </m:r>
            </m:oMath>
            <w:r w:rsidRPr="00AC77E6">
              <w:rPr>
                <w:rFonts w:eastAsiaTheme="minorEastAsia"/>
                <w:lang w:val="en-US"/>
              </w:rPr>
              <w:t>: ordres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(t)=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-PB(n)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PH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-PB(n)</m:t>
                        </m:r>
                      </m:den>
                    </m:f>
                  </m:e>
                </m:d>
              </m:oMath>
            </m:oMathPara>
          </w:p>
          <w:p w:rsidR="00AC77E6" w:rsidRPr="00AC77E6" w:rsidRDefault="001F2CFB" w:rsidP="00AC77E6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With</w:t>
            </w:r>
            <w:r w:rsidR="00AC77E6" w:rsidRPr="00AC77E6">
              <w:rPr>
                <w:rFonts w:ascii="Calibri" w:eastAsia="Calibri" w:hAnsi="Calibri" w:cs="Arial"/>
                <w:lang w:val="en-US"/>
              </w:rPr>
              <w:t xml:space="preserve"> :</w:t>
            </w:r>
            <m:oMath>
              <m:r>
                <w:rPr>
                  <w:rFonts w:ascii="Cambria Math" w:eastAsia="Calibri" w:hAnsi="Cambria Math" w:cs="Arial"/>
                  <w:lang w:val="en-US"/>
                </w:rPr>
                <m:t xml:space="preserve"> PB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Calibri" w:hAnsi="Cambria Math" w:cs="Arial"/>
                  <w:lang w:val="en-US"/>
                </w:rPr>
                <m:t> </m:t>
              </m:r>
            </m:oMath>
            <w:r w:rsidR="00AC77E6" w:rsidRPr="00AC77E6">
              <w:rPr>
                <w:rFonts w:ascii="Calibri" w:eastAsia="Calibri" w:hAnsi="Calibri" w:cs="Arial"/>
                <w:lang w:val="en-US"/>
              </w:rPr>
              <w:t>:</w:t>
            </w:r>
            <w:r w:rsidR="00AC77E6">
              <w:rPr>
                <w:rFonts w:ascii="Calibri" w:eastAsia="Calibri" w:hAnsi="Calibri" w:cs="Arial"/>
                <w:lang w:val="en-US"/>
              </w:rPr>
              <w:t>The highest  high price at the last n period</w:t>
            </w:r>
          </w:p>
          <w:p w:rsidR="00AC77E6" w:rsidRPr="00AC77E6" w:rsidRDefault="00AC77E6" w:rsidP="00AC77E6">
            <w:pPr>
              <w:rPr>
                <w:rFonts w:ascii="Calibri" w:eastAsia="Calibri" w:hAnsi="Calibri" w:cs="Arial"/>
                <w:lang w:val="en-US"/>
              </w:rPr>
            </w:pPr>
            <w:r w:rsidRPr="00AC77E6">
              <w:rPr>
                <w:rFonts w:ascii="Calibri" w:eastAsia="Calibri" w:hAnsi="Calibri" w:cs="Arial"/>
                <w:lang w:val="en-US"/>
              </w:rPr>
              <w:t xml:space="preserve">            </w:t>
            </w:r>
            <m:oMath>
              <m:r>
                <w:rPr>
                  <w:rFonts w:ascii="Cambria Math" w:eastAsia="Calibri" w:hAnsi="Cambria Math" w:cs="Arial"/>
                  <w:lang w:val="en-US"/>
                </w:rPr>
                <m:t>PH(n)</m:t>
              </m:r>
            </m:oMath>
            <w:r w:rsidRPr="00AC77E6">
              <w:rPr>
                <w:rFonts w:ascii="Calibri" w:eastAsia="Calibri" w:hAnsi="Calibri" w:cs="Arial"/>
                <w:lang w:val="en-US"/>
              </w:rPr>
              <w:t xml:space="preserve">: </w:t>
            </w:r>
            <w:r>
              <w:rPr>
                <w:rFonts w:ascii="Calibri" w:eastAsia="Calibri" w:hAnsi="Calibri" w:cs="Arial"/>
                <w:lang w:val="en-US"/>
              </w:rPr>
              <w:t xml:space="preserve">The </w:t>
            </w:r>
            <w:r>
              <w:rPr>
                <w:rFonts w:ascii="Calibri" w:eastAsia="Calibri" w:hAnsi="Calibri" w:cs="Arial"/>
                <w:lang w:val="en-US"/>
              </w:rPr>
              <w:t>lowest</w:t>
            </w:r>
            <w:r>
              <w:rPr>
                <w:rFonts w:ascii="Calibri" w:eastAsia="Calibri" w:hAnsi="Calibri" w:cs="Arial"/>
                <w:lang w:val="en-US"/>
              </w:rPr>
              <w:t xml:space="preserve">  </w:t>
            </w:r>
            <w:r>
              <w:rPr>
                <w:rFonts w:ascii="Calibri" w:eastAsia="Calibri" w:hAnsi="Calibri" w:cs="Arial"/>
                <w:lang w:val="en-US"/>
              </w:rPr>
              <w:t>lox</w:t>
            </w:r>
            <w:r>
              <w:rPr>
                <w:rFonts w:ascii="Calibri" w:eastAsia="Calibri" w:hAnsi="Calibri" w:cs="Arial"/>
                <w:lang w:val="en-US"/>
              </w:rPr>
              <w:t xml:space="preserve"> price at the last n period</w:t>
            </w:r>
          </w:p>
        </w:tc>
      </w:tr>
      <w:tr w:rsidR="00AC77E6" w:rsidRPr="00AC77E6" w:rsidTr="00DE6263">
        <w:trPr>
          <w:trHeight w:val="984"/>
        </w:trPr>
        <w:tc>
          <w:tcPr>
            <w:tcW w:w="2060" w:type="dxa"/>
            <w:vMerge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ω+n&lt;t≤l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%K</m:t>
                    </m:r>
                  </m:sup>
                </m:sSubSup>
                <m:r>
                  <w:rPr>
                    <w:rFonts w:ascii="Cambria Math" w:eastAsia="Calibri" w:hAnsi="Cambria Math" w:cs="Arial"/>
                    <w:lang w:val="en-US"/>
                  </w:rPr>
                  <m:t>(t)</m:t>
                </m:r>
              </m:oMath>
            </m:oMathPara>
          </w:p>
        </w:tc>
      </w:tr>
      <w:tr w:rsidR="00AC77E6" w:rsidRPr="00AC77E6" w:rsidTr="00DE6263">
        <w:trPr>
          <w:trHeight w:val="688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On Balance Volume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(OBV)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volume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OBV(t)=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OBV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volume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 xml:space="preserve">  si close&gt;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close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prev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0                         close=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close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prev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-volume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 xml:space="preserve">    close&lt;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close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lang w:val="en-US"/>
                              </w:rPr>
                              <m:t>prev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</w:p>
          <w:p w:rsidR="00AC77E6" w:rsidRPr="00AC77E6" w:rsidRDefault="001F2CFB" w:rsidP="00DE6263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With</w:t>
            </w:r>
            <w:r w:rsidR="00AC77E6" w:rsidRPr="00AC77E6">
              <w:rPr>
                <w:rFonts w:ascii="Calibri" w:eastAsia="Calibri" w:hAnsi="Calibri" w:cs="Arial"/>
                <w:lang w:val="en-US"/>
              </w:rPr>
              <w:t xml:space="preserve">   </w:t>
            </w:r>
            <m:oMath>
              <m:r>
                <w:rPr>
                  <w:rFonts w:ascii="Cambria Math" w:eastAsia="Calibri" w:hAnsi="Cambria Math" w:cs="Arial"/>
                  <w:lang w:val="en-US"/>
                </w:rPr>
                <m:t>OBV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="Calibri" w:hAnsi="Cambria Math" w:cs="Arial"/>
                  <w:lang w:val="en-US"/>
                </w:rPr>
                <m:t>=volume(1)</m:t>
              </m:r>
            </m:oMath>
            <w:r w:rsidR="00AC77E6" w:rsidRPr="00AC77E6">
              <w:rPr>
                <w:rFonts w:ascii="Calibri" w:eastAsia="Calibri" w:hAnsi="Calibri" w:cs="Arial"/>
                <w:lang w:val="en-US"/>
              </w:rPr>
              <w:t xml:space="preserve">  </w:t>
            </w:r>
          </w:p>
          <w:p w:rsidR="00AC77E6" w:rsidRPr="00AC77E6" w:rsidRDefault="00AC77E6" w:rsidP="00DE6263">
            <w:pPr>
              <w:rPr>
                <w:rFonts w:ascii="Calibri" w:eastAsia="Calibri" w:hAnsi="Calibri" w:cs="Arial"/>
                <w:lang w:val="en-US"/>
              </w:rPr>
            </w:pPr>
            <w:r w:rsidRPr="00AC77E6">
              <w:rPr>
                <w:rFonts w:ascii="Calibri" w:eastAsia="Calibri" w:hAnsi="Calibri" w:cs="Arial"/>
                <w:lang w:val="en-US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val="en-US"/>
                    </w:rPr>
                    <m:t>OBV</m:t>
                  </m:r>
                </m:e>
                <m:sub>
                  <m:r>
                    <w:rPr>
                      <w:rFonts w:ascii="Cambria Math" w:eastAsia="Calibri" w:hAnsi="Cambria Math" w:cs="Arial"/>
                      <w:lang w:val="en-US"/>
                    </w:rPr>
                    <m:t>prev</m:t>
                  </m:r>
                </m:sub>
              </m:sSub>
              <m:r>
                <w:rPr>
                  <w:rFonts w:ascii="Cambria Math" w:eastAsia="Calibri" w:hAnsi="Cambria Math" w:cs="Arial"/>
                  <w:lang w:val="en-US"/>
                </w:rPr>
                <m:t>=OBV(t-1)</m:t>
              </m:r>
            </m:oMath>
          </w:p>
          <w:p w:rsidR="00AC77E6" w:rsidRPr="00AC77E6" w:rsidRDefault="00AC77E6" w:rsidP="00DE6263">
            <w:pPr>
              <w:rPr>
                <w:rFonts w:ascii="Calibri" w:eastAsia="Calibri" w:hAnsi="Calibri" w:cs="Arial"/>
                <w:lang w:val="en-US"/>
              </w:rPr>
            </w:pPr>
            <w:r w:rsidRPr="00AC77E6">
              <w:rPr>
                <w:rFonts w:ascii="Calibri" w:eastAsia="Calibri" w:hAnsi="Calibri" w:cs="Arial"/>
                <w:lang w:val="en-US"/>
              </w:rPr>
              <w:t xml:space="preserve">         </w:t>
            </w:r>
          </w:p>
        </w:tc>
      </w:tr>
      <w:tr w:rsidR="00AC77E6" w:rsidRPr="00AC77E6" w:rsidTr="00DE6263">
        <w:trPr>
          <w:trHeight w:val="1516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Williams %R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 xml:space="preserve">n : </w:t>
            </w:r>
            <w:r w:rsidRPr="00AC77E6">
              <w:rPr>
                <w:lang w:val="en-US"/>
              </w:rPr>
              <w:t>order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R%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PH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PH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-PB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Arial"/>
                    <w:lang w:val="en-US"/>
                  </w:rPr>
                  <m:t>×(-100)</m:t>
                </m:r>
              </m:oMath>
            </m:oMathPara>
          </w:p>
        </w:tc>
      </w:tr>
      <w:tr w:rsidR="00AC77E6" w:rsidRPr="00AC77E6" w:rsidTr="00DE6263">
        <w:trPr>
          <w:trHeight w:val="2346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lastRenderedPageBreak/>
              <w:t>Money Flow Index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(MFI)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volume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High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Low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Close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n : </w:t>
            </w:r>
            <w:r w:rsidRPr="00AC77E6">
              <w:rPr>
                <w:rFonts w:eastAsiaTheme="minorEastAsia"/>
                <w:lang w:val="en-US"/>
              </w:rPr>
              <w:t>order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n&lt;t≤l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MFI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=100×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PMF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PMF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NMF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(t)</m:t>
                    </m:r>
                  </m:den>
                </m:f>
              </m:oMath>
            </m:oMathPara>
          </w:p>
          <w:p w:rsidR="00AC77E6" w:rsidRPr="00AC77E6" w:rsidRDefault="001F2CFB" w:rsidP="00DE6263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With</w:t>
            </w:r>
            <w:r w:rsidR="00AC77E6" w:rsidRPr="00AC77E6">
              <w:rPr>
                <w:rFonts w:ascii="Calibri" w:eastAsia="Calibri" w:hAnsi="Calibri" w:cs="Arial"/>
                <w:lang w:val="en-US"/>
              </w:rPr>
              <w:t xml:space="preserve">: </w:t>
            </w: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      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typ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High+Low+Close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 w:rsidRPr="00AC77E6">
              <w:rPr>
                <w:rFonts w:eastAsiaTheme="minorEastAsia"/>
                <w:lang w:val="en-US"/>
              </w:rPr>
              <w:t> </w:t>
            </w: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MF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typ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×volume(t)</m:t>
              </m:r>
            </m:oMath>
            <w:r w:rsidRPr="00AC77E6">
              <w:rPr>
                <w:rFonts w:eastAsiaTheme="minorEastAsia"/>
                <w:lang w:val="en-US"/>
              </w:rPr>
              <w:t xml:space="preserve"> </w:t>
            </w: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PMF</m:t>
                  </m:r>
                  <m: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  <w:footnoteReference w:id="3"/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typ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&gt;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typ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}</m:t>
                      </m:r>
                    </m:sub>
                  </m:sSub>
                </m:e>
              </m:nary>
            </m:oMath>
            <w:r w:rsidRPr="00AC77E6">
              <w:rPr>
                <w:rFonts w:eastAsiaTheme="minorEastAsia"/>
                <w:lang w:val="en-US"/>
              </w:rPr>
              <w:t xml:space="preserve"> </w:t>
            </w: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NMF</m:t>
                  </m:r>
                  <m: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  <w:footnoteReference w:id="4"/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typ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&lt;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typ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}</m:t>
                      </m:r>
                    </m:sub>
                  </m:sSub>
                </m:e>
              </m:nary>
            </m:oMath>
            <w:r w:rsidRPr="00AC77E6">
              <w:rPr>
                <w:rFonts w:eastAsiaTheme="minorEastAsia"/>
                <w:lang w:val="en-US"/>
              </w:rPr>
              <w:t xml:space="preserve"> </w:t>
            </w:r>
          </w:p>
          <w:p w:rsidR="00AC77E6" w:rsidRPr="00AC77E6" w:rsidRDefault="00AC77E6" w:rsidP="00DE6263">
            <w:pPr>
              <w:rPr>
                <w:rFonts w:ascii="Calibri" w:eastAsia="Calibri" w:hAnsi="Calibri" w:cs="Arial"/>
                <w:lang w:val="en-US"/>
              </w:rPr>
            </w:pPr>
          </w:p>
        </w:tc>
      </w:tr>
      <w:tr w:rsidR="00AC77E6" w:rsidRPr="00AC77E6" w:rsidTr="00DE6263">
        <w:trPr>
          <w:trHeight w:val="2780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Chaikin Oscillator 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(CHO)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{volume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High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Low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Close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n : </w:t>
            </w:r>
            <w:r w:rsidRPr="00AC77E6">
              <w:rPr>
                <w:rFonts w:eastAsiaTheme="minorEastAsia"/>
                <w:lang w:val="en-US"/>
              </w:rPr>
              <w:t>order</w:t>
            </w: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CHO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ADL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ADL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  <w:p w:rsidR="00AC77E6" w:rsidRPr="00AC77E6" w:rsidRDefault="001F2CFB" w:rsidP="001F2CF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with</w:t>
            </w:r>
            <w:r w:rsidR="00AC77E6" w:rsidRPr="00AC77E6">
              <w:rPr>
                <w:rFonts w:eastAsiaTheme="minorEastAsia"/>
                <w:lang w:val="en-US"/>
              </w:rPr>
              <w:t> :</w:t>
            </w:r>
          </w:p>
          <w:p w:rsidR="00AC77E6" w:rsidRPr="00AC77E6" w:rsidRDefault="00AC77E6" w:rsidP="00DE6263">
            <w:pPr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2Close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-Low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-High(t)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High-Low</m:t>
                    </m:r>
                  </m:den>
                </m:f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ADL</m:t>
                </m:r>
                <m:r>
                  <w:rPr>
                    <w:rFonts w:ascii="Cambria Math" w:hAnsi="Cambria Math"/>
                    <w:i/>
                    <w:sz w:val="20"/>
                    <w:szCs w:val="20"/>
                    <w:vertAlign w:val="superscript"/>
                    <w:lang w:val="en-US"/>
                  </w:rPr>
                  <w:footnoteReference w:id="5"/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N(t-i)×Vol(t-i)</m:t>
                    </m:r>
                  </m:e>
                </m:nary>
              </m:oMath>
            </m:oMathPara>
          </w:p>
        </w:tc>
      </w:tr>
      <w:tr w:rsidR="00AC77E6" w:rsidRPr="00AC77E6" w:rsidTr="00DE6263">
        <w:trPr>
          <w:trHeight w:val="1881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Negative Volume Index (NVI)</w:t>
            </w: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{volume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1&lt;t≤l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×NVI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&lt;vol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e>
                        </m:d>
                      </m:e>
                    </m:d>
                  </m:sub>
                </m:sSub>
                <m:r>
                  <w:rPr>
                    <w:rFonts w:ascii="Cambria Math" w:hAnsi="Cambria Math"/>
                    <w:lang w:val="en-US"/>
                  </w:rPr>
                  <m:t>+NVI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1F2CFB" w:rsidP="00DE6263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With</w:t>
            </w:r>
            <w:r w:rsidR="00AC77E6" w:rsidRPr="00AC77E6">
              <w:rPr>
                <w:rFonts w:ascii="Calibri" w:eastAsia="Calibri" w:hAnsi="Calibri" w:cs="Arial"/>
                <w:lang w:val="en-US"/>
              </w:rPr>
              <w:t> :</w:t>
            </w:r>
          </w:p>
          <w:p w:rsidR="00AC77E6" w:rsidRPr="00AC77E6" w:rsidRDefault="00AC77E6" w:rsidP="00DE6263">
            <w:pPr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AC77E6" w:rsidRPr="00AC77E6" w:rsidTr="00DE6263">
        <w:trPr>
          <w:trHeight w:val="1881"/>
        </w:trPr>
        <w:tc>
          <w:tcPr>
            <w:tcW w:w="2060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>Positive Volume Index (PVI)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{volume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t=1,…l</m:t>
                    </m:r>
                  </m:sub>
                </m:sSub>
              </m:oMath>
            </m:oMathPara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1&lt;t≤l</m:t>
                </m:r>
              </m:oMath>
            </m:oMathPara>
          </w:p>
        </w:tc>
        <w:tc>
          <w:tcPr>
            <w:tcW w:w="5386" w:type="dxa"/>
            <w:vAlign w:val="center"/>
          </w:tcPr>
          <w:p w:rsidR="00AC77E6" w:rsidRPr="00AC77E6" w:rsidRDefault="00AC77E6" w:rsidP="00DE6263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×PVI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&gt;vol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e>
                        </m:d>
                      </m:e>
                    </m:d>
                  </m:sub>
                </m:sSub>
                <m:r>
                  <w:rPr>
                    <w:rFonts w:ascii="Cambria Math" w:hAnsi="Cambria Math"/>
                    <w:lang w:val="en-US"/>
                  </w:rPr>
                  <m:t>+PVI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1F2CFB" w:rsidP="00DE6263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With</w:t>
            </w:r>
            <w:r w:rsidR="00AC77E6" w:rsidRPr="00AC77E6">
              <w:rPr>
                <w:rFonts w:ascii="Calibri" w:eastAsia="Calibri" w:hAnsi="Calibri" w:cs="Arial"/>
                <w:lang w:val="en-US"/>
              </w:rPr>
              <w:t xml:space="preserve"> : </w:t>
            </w:r>
          </w:p>
          <w:p w:rsidR="00AC77E6" w:rsidRPr="00AC77E6" w:rsidRDefault="00AC77E6" w:rsidP="00AC77E6">
            <w:pPr>
              <w:keepNext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</w:tbl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1F2CFB" w:rsidRPr="001F2CFB" w:rsidRDefault="001F2CFB" w:rsidP="001F2CFB">
      <w:pPr>
        <w:pStyle w:val="Lgende"/>
        <w:keepNext/>
        <w:jc w:val="center"/>
        <w:rPr>
          <w:lang w:val="en-US"/>
        </w:rPr>
      </w:pPr>
      <w:r w:rsidRPr="001F2CFB">
        <w:rPr>
          <w:lang w:val="en-US"/>
        </w:rPr>
        <w:lastRenderedPageBreak/>
        <w:t xml:space="preserve">Table </w:t>
      </w:r>
      <w:r w:rsidRPr="001F2CFB">
        <w:rPr>
          <w:lang w:val="en-US"/>
        </w:rPr>
        <w:fldChar w:fldCharType="begin"/>
      </w:r>
      <w:r w:rsidRPr="001F2CFB">
        <w:rPr>
          <w:lang w:val="en-US"/>
        </w:rPr>
        <w:instrText xml:space="preserve"> SEQ Table \* ARABIC </w:instrText>
      </w:r>
      <w:r w:rsidRPr="001F2CFB">
        <w:rPr>
          <w:lang w:val="en-US"/>
        </w:rPr>
        <w:fldChar w:fldCharType="separate"/>
      </w:r>
      <w:r w:rsidRPr="001F2CFB">
        <w:rPr>
          <w:noProof/>
          <w:lang w:val="en-US"/>
        </w:rPr>
        <w:t>2</w:t>
      </w:r>
      <w:r w:rsidRPr="001F2CFB">
        <w:rPr>
          <w:lang w:val="en-US"/>
        </w:rPr>
        <w:fldChar w:fldCharType="end"/>
      </w:r>
      <w:r w:rsidRPr="001F2CFB">
        <w:rPr>
          <w:lang w:val="en-US"/>
        </w:rPr>
        <w:t xml:space="preserve"> Buy &amp; sell signals</w:t>
      </w:r>
    </w:p>
    <w:tbl>
      <w:tblPr>
        <w:tblStyle w:val="Grilledutableau"/>
        <w:tblpPr w:leftFromText="141" w:rightFromText="141" w:vertAnchor="page" w:horzAnchor="margin" w:tblpXSpec="center" w:tblpY="2219"/>
        <w:tblW w:w="10632" w:type="dxa"/>
        <w:tblLook w:val="04A0" w:firstRow="1" w:lastRow="0" w:firstColumn="1" w:lastColumn="0" w:noHBand="0" w:noVBand="1"/>
      </w:tblPr>
      <w:tblGrid>
        <w:gridCol w:w="1719"/>
        <w:gridCol w:w="40"/>
        <w:gridCol w:w="478"/>
        <w:gridCol w:w="4164"/>
        <w:gridCol w:w="4231"/>
      </w:tblGrid>
      <w:tr w:rsidR="00AC77E6" w:rsidRPr="00AC77E6" w:rsidTr="00DE6263">
        <w:trPr>
          <w:trHeight w:val="433"/>
        </w:trPr>
        <w:tc>
          <w:tcPr>
            <w:tcW w:w="2237" w:type="dxa"/>
            <w:gridSpan w:val="3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Indicator</w:t>
            </w:r>
          </w:p>
        </w:tc>
        <w:tc>
          <w:tcPr>
            <w:tcW w:w="8395" w:type="dxa"/>
            <w:gridSpan w:val="2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Signal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</w:tr>
      <w:tr w:rsidR="00AC77E6" w:rsidRPr="00AC77E6" w:rsidTr="00DE6263">
        <w:trPr>
          <w:trHeight w:val="370"/>
        </w:trPr>
        <w:tc>
          <w:tcPr>
            <w:tcW w:w="2237" w:type="dxa"/>
            <w:gridSpan w:val="3"/>
            <w:vMerge/>
          </w:tcPr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</w:t>
            </w: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Support /Résistance</w:t>
            </w:r>
          </w:p>
        </w:tc>
        <w:tc>
          <w:tcPr>
            <w:tcW w:w="4164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&gt;Resistance(t)</m:t>
                </m:r>
              </m:oMath>
            </m:oMathPara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&lt;Support(t)</m:t>
                </m:r>
              </m:oMath>
            </m:oMathPara>
          </w:p>
        </w:tc>
      </w:tr>
      <w:tr w:rsidR="00AC77E6" w:rsidRPr="00AC77E6" w:rsidTr="00DE6263">
        <w:trPr>
          <w:trHeight w:val="713"/>
        </w:trPr>
        <w:tc>
          <w:tcPr>
            <w:tcW w:w="1719" w:type="dxa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 Moving Average</w:t>
            </w:r>
          </w:p>
        </w:tc>
        <w:tc>
          <w:tcPr>
            <w:tcW w:w="518" w:type="dxa"/>
            <w:gridSpan w:val="2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R1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</w:p>
          <w:p w:rsidR="00AC77E6" w:rsidRPr="00AC77E6" w:rsidRDefault="00AC77E6" w:rsidP="00AC77E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&amp;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AC77E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&amp;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</w:tr>
      <w:tr w:rsidR="00AC77E6" w:rsidRPr="00AC77E6" w:rsidTr="00DE6263">
        <w:trPr>
          <w:trHeight w:val="715"/>
        </w:trPr>
        <w:tc>
          <w:tcPr>
            <w:tcW w:w="1719" w:type="dxa"/>
            <w:vMerge/>
          </w:tcPr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518" w:type="dxa"/>
            <w:gridSpan w:val="2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R2</w:t>
            </w:r>
            <w:r w:rsidRPr="00AC77E6">
              <w:rPr>
                <w:vertAlign w:val="superscript"/>
                <w:lang w:val="en-US"/>
              </w:rPr>
              <w:footnoteReference w:id="6"/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&gt;0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oMath>
            </m:oMathPara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&lt;0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AC77E6" w:rsidRPr="00AC77E6" w:rsidTr="00DE6263">
        <w:trPr>
          <w:trHeight w:val="854"/>
        </w:trPr>
        <w:tc>
          <w:tcPr>
            <w:tcW w:w="1719" w:type="dxa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MACD</w:t>
            </w:r>
          </w:p>
        </w:tc>
        <w:tc>
          <w:tcPr>
            <w:tcW w:w="518" w:type="dxa"/>
            <w:gridSpan w:val="2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R1</w:t>
            </w:r>
          </w:p>
        </w:tc>
        <w:tc>
          <w:tcPr>
            <w:tcW w:w="4164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&gt;SL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&lt;SL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</w:tc>
        <w:tc>
          <w:tcPr>
            <w:tcW w:w="4231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&lt;SL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&gt;SL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</w:tc>
      </w:tr>
      <w:tr w:rsidR="00AC77E6" w:rsidRPr="00AC77E6" w:rsidTr="00DE6263">
        <w:trPr>
          <w:trHeight w:val="752"/>
        </w:trPr>
        <w:tc>
          <w:tcPr>
            <w:tcW w:w="1719" w:type="dxa"/>
            <w:vMerge/>
          </w:tcPr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518" w:type="dxa"/>
            <w:gridSpan w:val="2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R2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&gt;0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&lt;0</m:t>
                </m:r>
              </m:oMath>
            </m:oMathPara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&lt;0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MACD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&gt;0</m:t>
                </m:r>
              </m:oMath>
            </m:oMathPara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RSI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RSI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&gt;dl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RSI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&lt;dl </m:t>
                    </m:r>
                  </m:e>
                </m:eqAr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dl=30% ou 20%</m:t>
                </m:r>
              </m:oMath>
            </m:oMathPara>
          </w:p>
        </w:tc>
        <w:tc>
          <w:tcPr>
            <w:tcW w:w="4231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RSI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&lt;ul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RSI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&gt;ul</m:t>
                </m:r>
              </m:oMath>
            </m:oMathPara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ul=70% ou 80%</m:t>
                </m:r>
              </m:oMath>
            </m:oMathPara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AC77E6">
            <w:pPr>
              <w:jc w:val="center"/>
              <w:rPr>
                <w:lang w:val="en-US"/>
              </w:rPr>
            </w:pPr>
            <w:r w:rsidRPr="00AC77E6">
              <w:rPr>
                <w:rFonts w:eastAsiaTheme="minorEastAsia"/>
                <w:lang w:val="en-US"/>
              </w:rPr>
              <w:t xml:space="preserve"> Bollinger</w:t>
            </w:r>
            <w:r>
              <w:rPr>
                <w:rFonts w:eastAsiaTheme="minorEastAsia"/>
                <w:lang w:val="en-US"/>
              </w:rPr>
              <w:t xml:space="preserve"> Bands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up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&amp;&amp;&amp;and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&gt;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up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(t-1)</m:t>
                    </m:r>
                  </m:e>
                </m:eqAr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</w:t>
            </w: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low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 et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low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(t-1)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low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&amp;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low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</w:t>
            </w: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up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 et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&gt;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up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(t-1)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Momentum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MOM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MOM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231" w:type="dxa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MOM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MOM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sig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</m:oMath>
            </m:oMathPara>
          </w:p>
        </w:tc>
      </w:tr>
      <w:tr w:rsidR="00AC77E6" w:rsidRPr="00AC77E6" w:rsidTr="00DE6263">
        <w:trPr>
          <w:trHeight w:val="803"/>
        </w:trPr>
        <w:tc>
          <w:tcPr>
            <w:tcW w:w="1759" w:type="dxa"/>
            <w:gridSpan w:val="2"/>
            <w:vMerge w:val="restart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Stochastic </w:t>
            </w:r>
          </w:p>
        </w:tc>
        <w:tc>
          <w:tcPr>
            <w:tcW w:w="478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R1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&gt;%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&lt;%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&lt;%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&gt;%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AC77E6" w:rsidRPr="00AC77E6" w:rsidTr="00DE6263">
        <w:trPr>
          <w:trHeight w:val="522"/>
        </w:trPr>
        <w:tc>
          <w:tcPr>
            <w:tcW w:w="1759" w:type="dxa"/>
            <w:gridSpan w:val="2"/>
            <w:vMerge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R2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AC77E6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&gt;80%  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&amp;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 xml:space="preserve">  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&lt;80%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</w:p>
          <w:p w:rsidR="00AC77E6" w:rsidRPr="00AC77E6" w:rsidRDefault="00AC77E6" w:rsidP="00AC77E6">
            <w:pPr>
              <w:jc w:val="center"/>
              <w:rPr>
                <w:rFonts w:ascii="Calibri" w:eastAsia="Times New Roman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&gt;80%  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&amp;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 xml:space="preserve">  %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&lt;80%</m:t>
                </m:r>
              </m:oMath>
            </m:oMathPara>
          </w:p>
          <w:p w:rsidR="00AC77E6" w:rsidRPr="00AC77E6" w:rsidRDefault="00AC77E6" w:rsidP="00DE6263">
            <w:pPr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Williams %R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164" w:type="dxa"/>
            <w:vAlign w:val="center"/>
          </w:tcPr>
          <w:p w:rsidR="00AC77E6" w:rsidRPr="00AC77E6" w:rsidRDefault="00AC77E6" w:rsidP="00AC77E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R%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&lt;-80   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&amp;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R%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≥-20</m:t>
                </m:r>
              </m:oMath>
            </m:oMathPara>
          </w:p>
        </w:tc>
        <w:tc>
          <w:tcPr>
            <w:tcW w:w="4231" w:type="dxa"/>
          </w:tcPr>
          <w:p w:rsidR="00AC77E6" w:rsidRPr="00AC77E6" w:rsidRDefault="00AC77E6" w:rsidP="00DE6263">
            <w:pPr>
              <w:rPr>
                <w:rFonts w:eastAsiaTheme="minorEastAsia"/>
                <w:lang w:val="en-US"/>
              </w:rPr>
            </w:pPr>
          </w:p>
          <w:p w:rsidR="00AC77E6" w:rsidRPr="00AC77E6" w:rsidRDefault="00AC77E6" w:rsidP="00AC77E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R%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&gt;-80   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&amp;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R%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≤-20</m:t>
                </m:r>
              </m:oMath>
            </m:oMathPara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lastRenderedPageBreak/>
              <w:t>On Balance Volume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(OBV)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OBV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&gt; 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OBV</m:t>
                    </m:r>
                  </m:sup>
                </m:sSubSup>
                <m:r>
                  <w:rPr>
                    <w:rFonts w:ascii="Cambria Math" w:eastAsia="Calibri" w:hAnsi="Cambria Math" w:cs="Arial"/>
                    <w:lang w:val="en-US"/>
                  </w:rPr>
                  <m:t>(t)</m:t>
                </m:r>
              </m:oMath>
            </m:oMathPara>
          </w:p>
          <w:p w:rsid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OBV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OBV</m:t>
                    </m:r>
                  </m:sup>
                </m:sSubSup>
                <m:r>
                  <w:rPr>
                    <w:rFonts w:ascii="Cambria Math" w:eastAsia="Calibri" w:hAnsi="Cambria Math" w:cs="Arial"/>
                    <w:lang w:val="en-US"/>
                  </w:rPr>
                  <m:t>(t-1)</m:t>
                </m:r>
              </m:oMath>
            </m:oMathPara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OBV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OBV</m:t>
                    </m:r>
                  </m:sup>
                </m:sSubSup>
                <m:r>
                  <w:rPr>
                    <w:rFonts w:ascii="Cambria Math" w:eastAsia="Calibri" w:hAnsi="Cambria Math" w:cs="Arial"/>
                    <w:lang w:val="en-US"/>
                  </w:rPr>
                  <m:t>(t)</m:t>
                </m:r>
              </m:oMath>
            </m:oMathPara>
          </w:p>
          <w:p w:rsid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OBV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&gt; 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OBV</m:t>
                    </m:r>
                  </m:sup>
                </m:sSubSup>
                <m:r>
                  <w:rPr>
                    <w:rFonts w:ascii="Cambria Math" w:eastAsia="Calibri" w:hAnsi="Cambria Math" w:cs="Arial"/>
                    <w:lang w:val="en-US"/>
                  </w:rPr>
                  <m:t>(t-1)</m:t>
                </m:r>
              </m:oMath>
            </m:oMathPara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Rate Of Change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(ROC)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AC77E6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&gt;0 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&amp;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&lt;0</m:t>
                </m:r>
              </m:oMath>
            </m:oMathPara>
          </w:p>
        </w:tc>
        <w:tc>
          <w:tcPr>
            <w:tcW w:w="4231" w:type="dxa"/>
            <w:vAlign w:val="center"/>
          </w:tcPr>
          <w:p w:rsidR="00AC77E6" w:rsidRPr="00AC77E6" w:rsidRDefault="00AC77E6" w:rsidP="00AC77E6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 xml:space="preserve">&lt;0 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&amp;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ROC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&gt;0</m:t>
                </m:r>
              </m:oMath>
            </m:oMathPara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Money Flow Index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(MFI)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oMath>
            <w:r w:rsidRPr="00AC77E6">
              <w:rPr>
                <w:rFonts w:eastAsiaTheme="minorEastAsia"/>
                <w:lang w:val="en-US"/>
              </w:rPr>
              <w:t xml:space="preserve">&gt; 80%  </w:t>
            </w:r>
            <w:r>
              <w:rPr>
                <w:rFonts w:eastAsiaTheme="minorEastAsia"/>
                <w:lang w:val="en-US"/>
              </w:rPr>
              <w:t xml:space="preserve">AND </w:t>
            </w:r>
            <w:r w:rsidRPr="00AC77E6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&lt;80%</m:t>
              </m:r>
            </m:oMath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231" w:type="dxa"/>
            <w:vAlign w:val="center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oMath>
            <w:r w:rsidRPr="00AC77E6">
              <w:rPr>
                <w:rFonts w:eastAsiaTheme="minorEastAsia"/>
                <w:lang w:val="en-US"/>
              </w:rPr>
              <w:t xml:space="preserve">&lt; 20%  </w:t>
            </w:r>
            <w:r>
              <w:rPr>
                <w:rFonts w:eastAsiaTheme="minorEastAsia"/>
                <w:lang w:val="en-US"/>
              </w:rPr>
              <w:t xml:space="preserve">AND </w:t>
            </w:r>
            <w:r w:rsidRPr="00AC77E6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&gt;20%</m:t>
              </m:r>
            </m:oMath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Chaikin Oscillator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(CHO)</w:t>
            </w:r>
          </w:p>
        </w:tc>
        <w:tc>
          <w:tcPr>
            <w:tcW w:w="4164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CHO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&gt;0</m:t>
                </m:r>
              </m:oMath>
            </m:oMathPara>
          </w:p>
          <w:p w:rsidR="00AC77E6" w:rsidRPr="00AC77E6" w:rsidRDefault="00AC77E6" w:rsidP="00DE6263">
            <w:pPr>
              <w:rPr>
                <w:lang w:val="en-US"/>
              </w:rPr>
            </w:pPr>
          </w:p>
        </w:tc>
        <w:tc>
          <w:tcPr>
            <w:tcW w:w="4231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CHO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&lt;0</m:t>
                </m:r>
              </m:oMath>
            </m:oMathPara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Negative Volume Index (NVI)</w:t>
            </w: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NVI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NVI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NVI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NVI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231" w:type="dxa"/>
          </w:tcPr>
          <w:p w:rsidR="00AC77E6" w:rsidRPr="00AC77E6" w:rsidRDefault="00AC77E6" w:rsidP="00DE6263">
            <w:pPr>
              <w:rPr>
                <w:lang w:val="en-US"/>
              </w:rPr>
            </w:pPr>
          </w:p>
          <w:p w:rsidR="00AC77E6" w:rsidRPr="00AC77E6" w:rsidRDefault="00AC77E6" w:rsidP="00DE6263">
            <w:pPr>
              <w:rPr>
                <w:lang w:val="en-US"/>
              </w:rPr>
            </w:pPr>
            <w:r w:rsidRPr="00AC77E6">
              <w:rPr>
                <w:lang w:val="en-US"/>
              </w:rPr>
              <w:t xml:space="preserve">      --------------------------------------------------</w:t>
            </w:r>
            <w:r w:rsidRPr="00AC77E6">
              <w:rPr>
                <w:vertAlign w:val="superscript"/>
                <w:lang w:val="en-US"/>
              </w:rPr>
              <w:footnoteReference w:id="7"/>
            </w:r>
          </w:p>
        </w:tc>
      </w:tr>
      <w:tr w:rsidR="00AC77E6" w:rsidRPr="00AC77E6" w:rsidTr="00DE6263">
        <w:tc>
          <w:tcPr>
            <w:tcW w:w="2237" w:type="dxa"/>
            <w:gridSpan w:val="3"/>
            <w:vAlign w:val="center"/>
          </w:tcPr>
          <w:p w:rsidR="00AC77E6" w:rsidRPr="00AC77E6" w:rsidRDefault="00AC77E6" w:rsidP="00DE6263">
            <w:pPr>
              <w:jc w:val="center"/>
              <w:rPr>
                <w:lang w:val="en-US"/>
              </w:rPr>
            </w:pPr>
            <w:r w:rsidRPr="00AC77E6">
              <w:rPr>
                <w:lang w:val="en-US"/>
              </w:rPr>
              <w:t>Positive Volume Index (PVI)</w:t>
            </w:r>
          </w:p>
          <w:p w:rsidR="00AC77E6" w:rsidRPr="00AC77E6" w:rsidRDefault="00AC77E6" w:rsidP="00DE6263">
            <w:pPr>
              <w:jc w:val="center"/>
              <w:rPr>
                <w:lang w:val="en-US"/>
              </w:rPr>
            </w:pPr>
          </w:p>
        </w:tc>
        <w:tc>
          <w:tcPr>
            <w:tcW w:w="4164" w:type="dxa"/>
            <w:vAlign w:val="center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231" w:type="dxa"/>
          </w:tcPr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AC77E6" w:rsidRPr="00AC77E6" w:rsidRDefault="00AC77E6" w:rsidP="00DE62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</w:t>
            </w:r>
          </w:p>
          <w:p w:rsidR="00AC77E6" w:rsidRPr="00AC77E6" w:rsidRDefault="00AC77E6" w:rsidP="00DE626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PVI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MMS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</w:tr>
    </w:tbl>
    <w:p w:rsidR="00AC77E6" w:rsidRPr="00AC77E6" w:rsidRDefault="00AC77E6" w:rsidP="00AC77E6">
      <w:pPr>
        <w:rPr>
          <w:lang w:val="en-US"/>
        </w:rPr>
      </w:pPr>
    </w:p>
    <w:p w:rsidR="006A502E" w:rsidRPr="006A502E" w:rsidRDefault="006A502E" w:rsidP="006A502E">
      <w:pPr>
        <w:rPr>
          <w:lang w:val="en-US"/>
        </w:rPr>
      </w:pPr>
      <w:proofErr w:type="gramStart"/>
      <w:r w:rsidRPr="006A502E">
        <w:rPr>
          <w:lang w:val="en-US"/>
        </w:rPr>
        <w:t>Bibliography</w:t>
      </w:r>
      <w:bookmarkStart w:id="0" w:name="_GoBack"/>
      <w:bookmarkEnd w:id="0"/>
      <w:r w:rsidRPr="006A502E">
        <w:rPr>
          <w:lang w:val="en-US"/>
        </w:rPr>
        <w:t xml:space="preserve"> :</w:t>
      </w:r>
      <w:proofErr w:type="gramEnd"/>
      <w:r w:rsidRPr="006A502E">
        <w:rPr>
          <w:lang w:val="en-US"/>
        </w:rPr>
        <w:t xml:space="preserve"> </w:t>
      </w:r>
    </w:p>
    <w:p w:rsidR="006A502E" w:rsidRPr="006A502E" w:rsidRDefault="006A502E" w:rsidP="006A502E">
      <w:pPr>
        <w:rPr>
          <w:lang w:val="en-US"/>
        </w:rPr>
      </w:pP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>[1] Prodromos E.Tsinaslanidis and Achilleas D.Z, Technical Analysis for Algorithmic Pattern Recognition, Springer, 2016.</w:t>
      </w: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>[2] German Creamer &amp; Centrum Catholica, Automated Trading With Boosting and Expert Weighting.</w:t>
      </w: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>[3] Jelena Stankovic &amp; Ivana Markovic, Investment Strategy Optimization Using Technical Analysis and Predictive Modeling in Emerging Markets.</w:t>
      </w: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>[4] Terence Tai-Leung Chong, Revisiting the Performance of MACD and RSI Oscillators.</w:t>
      </w: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 xml:space="preserve">[5] </w:t>
      </w:r>
      <w:proofErr w:type="spellStart"/>
      <w:r w:rsidRPr="006A502E">
        <w:rPr>
          <w:lang w:val="en-US"/>
        </w:rPr>
        <w:t>Jorg</w:t>
      </w:r>
      <w:proofErr w:type="spellEnd"/>
      <w:r w:rsidRPr="006A502E">
        <w:rPr>
          <w:lang w:val="en-US"/>
        </w:rPr>
        <w:t xml:space="preserve"> Bley &amp; Mohsen </w:t>
      </w:r>
      <w:proofErr w:type="spellStart"/>
      <w:r w:rsidRPr="006A502E">
        <w:rPr>
          <w:lang w:val="en-US"/>
        </w:rPr>
        <w:t>Saad</w:t>
      </w:r>
      <w:proofErr w:type="spellEnd"/>
      <w:r w:rsidRPr="006A502E">
        <w:rPr>
          <w:lang w:val="en-US"/>
        </w:rPr>
        <w:t>, An analysis of technical rules: The case of MENA markets.</w:t>
      </w: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>[6] William Wai &amp; Terence Ching, Profitability of the On-Balance Volume indicator, Research gate, https://www.researchgate.net/publication/227410360</w:t>
      </w:r>
    </w:p>
    <w:p w:rsidR="006A502E" w:rsidRPr="006A502E" w:rsidRDefault="006A502E" w:rsidP="006A502E">
      <w:pPr>
        <w:rPr>
          <w:lang w:val="en-US"/>
        </w:rPr>
      </w:pPr>
      <w:r w:rsidRPr="006A502E">
        <w:rPr>
          <w:lang w:val="en-US"/>
        </w:rPr>
        <w:t>[7] Marek Patrice &amp; Cadkova Vera, Optimization and testing of Money Flow Index (2020), https://www.researchgate.net/publication/339029303</w:t>
      </w:r>
    </w:p>
    <w:p w:rsidR="00AC77E6" w:rsidRPr="006A502E" w:rsidRDefault="006A502E" w:rsidP="006A502E">
      <w:pPr>
        <w:rPr>
          <w:lang w:val="en-US"/>
        </w:rPr>
      </w:pPr>
      <w:r w:rsidRPr="006A502E">
        <w:rPr>
          <w:lang w:val="en-US"/>
        </w:rPr>
        <w:t>[6] Steven B.Achelis, Technical Analysis from A to Z.</w:t>
      </w:r>
    </w:p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p w:rsidR="00AC77E6" w:rsidRDefault="00AC77E6" w:rsidP="00AC77E6"/>
    <w:sectPr w:rsidR="00AC7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FC" w:rsidRDefault="004A06FC" w:rsidP="00AC77E6">
      <w:pPr>
        <w:spacing w:after="0" w:line="240" w:lineRule="auto"/>
      </w:pPr>
      <w:r>
        <w:separator/>
      </w:r>
    </w:p>
  </w:endnote>
  <w:endnote w:type="continuationSeparator" w:id="0">
    <w:p w:rsidR="004A06FC" w:rsidRDefault="004A06FC" w:rsidP="00AC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FC" w:rsidRDefault="004A06FC" w:rsidP="00AC77E6">
      <w:pPr>
        <w:spacing w:after="0" w:line="240" w:lineRule="auto"/>
      </w:pPr>
      <w:r>
        <w:separator/>
      </w:r>
    </w:p>
  </w:footnote>
  <w:footnote w:type="continuationSeparator" w:id="0">
    <w:p w:rsidR="004A06FC" w:rsidRDefault="004A06FC" w:rsidP="00AC77E6">
      <w:pPr>
        <w:spacing w:after="0" w:line="240" w:lineRule="auto"/>
      </w:pPr>
      <w:r>
        <w:continuationSeparator/>
      </w:r>
    </w:p>
  </w:footnote>
  <w:footnote w:id="1">
    <w:p w:rsidR="00AC77E6" w:rsidRDefault="00AC77E6" w:rsidP="00AC77E6">
      <w:pPr>
        <w:pStyle w:val="Notedebasdepage"/>
      </w:pPr>
      <w:r>
        <w:rPr>
          <w:rStyle w:val="Appelnotedebasdep"/>
        </w:rPr>
        <w:footnoteRef/>
      </w:r>
      <w:r>
        <w:t xml:space="preserve"> Moving Average Convergence Divergence </w:t>
      </w:r>
    </w:p>
  </w:footnote>
  <w:footnote w:id="2">
    <w:p w:rsidR="00AC77E6" w:rsidRDefault="00AC77E6" w:rsidP="00AC77E6">
      <w:pPr>
        <w:pStyle w:val="Notedebasdepage"/>
      </w:pPr>
      <w:r>
        <w:rPr>
          <w:rStyle w:val="Appelnotedebasdep"/>
        </w:rPr>
        <w:footnoteRef/>
      </w:r>
      <w:r>
        <w:t xml:space="preserve"> {MACD} </w:t>
      </w:r>
      <w:r w:rsidRPr="00AC77E6">
        <w:rPr>
          <w:lang w:val="en-US"/>
        </w:rPr>
        <w:t>indicate that</w:t>
      </w:r>
      <w:r w:rsidRPr="00AC77E6">
        <w:rPr>
          <w:lang w:val="en-US"/>
        </w:rPr>
        <w:t xml:space="preserve"> MME </w:t>
      </w:r>
      <w:r>
        <w:rPr>
          <w:lang w:val="en-US"/>
        </w:rPr>
        <w:t>of</w:t>
      </w:r>
      <w:r w:rsidRPr="00AC77E6">
        <w:rPr>
          <w:lang w:val="en-US"/>
        </w:rPr>
        <w:t xml:space="preserve"> MACD</w:t>
      </w:r>
    </w:p>
  </w:footnote>
  <w:footnote w:id="3">
    <w:p w:rsidR="00AC77E6" w:rsidRPr="002521BD" w:rsidRDefault="00AC77E6" w:rsidP="00AC77E6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2521BD">
        <w:rPr>
          <w:lang w:val="en-US"/>
        </w:rPr>
        <w:t xml:space="preserve"> Positive Money Flow</w:t>
      </w:r>
    </w:p>
  </w:footnote>
  <w:footnote w:id="4">
    <w:p w:rsidR="00AC77E6" w:rsidRPr="002521BD" w:rsidRDefault="00AC77E6" w:rsidP="00AC77E6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2521BD">
        <w:rPr>
          <w:lang w:val="en-US"/>
        </w:rPr>
        <w:t xml:space="preserve"> Negative Money Flow </w:t>
      </w:r>
    </w:p>
  </w:footnote>
  <w:footnote w:id="5">
    <w:p w:rsidR="00AC77E6" w:rsidRDefault="00AC77E6" w:rsidP="00AC77E6">
      <w:pPr>
        <w:pStyle w:val="Notedebasdepage"/>
      </w:pPr>
      <w:r>
        <w:rPr>
          <w:rStyle w:val="Appelnotedebasdep"/>
        </w:rPr>
        <w:footnoteRef/>
      </w:r>
      <w:r>
        <w:t xml:space="preserve"> Accumulation distribution line</w:t>
      </w:r>
    </w:p>
  </w:footnote>
  <w:footnote w:id="6">
    <w:p w:rsidR="00AC77E6" w:rsidRPr="00765D44" w:rsidRDefault="00AC77E6" w:rsidP="00AC77E6">
      <w:pPr>
        <w:pStyle w:val="Notedebasdepage"/>
      </w:pPr>
      <w:r>
        <w:rPr>
          <w:rStyle w:val="Appelnotedebasdep"/>
        </w:rPr>
        <w:footnoteRef/>
      </w:r>
      <w:r w:rsidRPr="00765D4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MMS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MMS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1F2CFB">
        <w:rPr>
          <w:lang w:val="en-US"/>
        </w:rPr>
        <w:t xml:space="preserve">  </w:t>
      </w:r>
      <w:r w:rsidRPr="001F2CFB">
        <w:rPr>
          <w:lang w:val="en-US"/>
        </w:rPr>
        <w:t>with</w:t>
      </w:r>
      <w:r w:rsidRPr="001F2CFB">
        <w:rPr>
          <w:lang w:val="en-US"/>
        </w:rPr>
        <w:t xml:space="preserve"> 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1F2CFB">
        <w:rPr>
          <w:lang w:val="en-US"/>
        </w:rPr>
        <w:t xml:space="preserve">  &amp;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≤t≤l</m:t>
        </m:r>
      </m:oMath>
      <w:r w:rsidRPr="00765D44">
        <w:t xml:space="preserve"> </w:t>
      </w:r>
    </w:p>
  </w:footnote>
  <w:footnote w:id="7">
    <w:p w:rsidR="00AC77E6" w:rsidRPr="00AC77E6" w:rsidRDefault="00AC77E6" w:rsidP="00AC77E6">
      <w:pPr>
        <w:pStyle w:val="Notedebasdepage"/>
        <w:rPr>
          <w:lang w:val="en-US"/>
        </w:rPr>
      </w:pPr>
      <w:r w:rsidRPr="00AC77E6">
        <w:rPr>
          <w:rStyle w:val="Appelnotedebasdep"/>
          <w:lang w:val="en-US"/>
        </w:rPr>
        <w:footnoteRef/>
      </w:r>
      <w:r w:rsidRPr="00AC77E6">
        <w:rPr>
          <w:lang w:val="en-US"/>
        </w:rPr>
        <w:t xml:space="preserve"> </w:t>
      </w:r>
      <w:r w:rsidRPr="00AC77E6">
        <w:rPr>
          <w:lang w:val="en-US"/>
        </w:rPr>
        <w:t>The sell signal</w:t>
      </w:r>
      <w:r>
        <w:rPr>
          <w:lang w:val="en-US"/>
        </w:rPr>
        <w:t xml:space="preserve"> </w:t>
      </w:r>
      <w:r w:rsidR="001F2CFB">
        <w:rPr>
          <w:lang w:val="en-US"/>
        </w:rPr>
        <w:t xml:space="preserve">of the NVI are not reliable </w:t>
      </w:r>
      <w:r w:rsidRPr="00AC77E6">
        <w:rPr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E6"/>
    <w:rsid w:val="00196B40"/>
    <w:rsid w:val="001F2CFB"/>
    <w:rsid w:val="004A06FC"/>
    <w:rsid w:val="006A502E"/>
    <w:rsid w:val="00A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17620-3100-48BE-8480-696B8331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77E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77E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77E6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C7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2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amamine8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2020-09-28T20:56:00Z</dcterms:created>
  <dcterms:modified xsi:type="dcterms:W3CDTF">2020-09-28T21:47:00Z</dcterms:modified>
</cp:coreProperties>
</file>