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Différents sujets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[Finance] Les entreprises en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https://www.ina.fr/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[Audiovisuel] Le 7e art en 2020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https://www.bnf.fr/fr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https://www.ina.fr/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[Politique] La corruption dans les élections aux Etats-Unis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https://www.ina.fr/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[Sport] L'UFC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[Sport] La VAR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[Environnement] Le réchauffement climatique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https://www.ina.fr/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[Santé]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https://www.ina.fr/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[Economie] L'économie des pays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https://www.ina.fr/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[Technologie] L'intelligence artificielle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Présence dans chaque domaine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Avantage &amp; Inconvénients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https://lejournal.cnrs.fr/dossiers/comment-lintelligence-artificielle-va-changer-nos-vies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https://www.robots-et-compagnie.com/intelligence-artificielle-changer-notre-vie-quotidienne/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Plus de détails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IA dans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[Sociologie] Le racisme | La discrimination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https://www.ina.fr/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