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2200" w:after="280"/>
        <w:jc w:val="center"/>
      </w:pPr>
      <w:r>
        <w:rPr>
          <w:b/>
          <w:color w:val="1F4E79"/>
          <w:sz w:val="48"/>
          <w:rtl w:val="1"/>
          <w:rFonts w:ascii="Arial" w:hAnsi="Arial" w:cs="Arial" w:eastAsia="Arial"/>
        </w:rPr>
        <w:t>القواعد الأساسية في تدبّر القرآن</w:t>
      </w:r>
    </w:p>
    <w:p>
      <w:pPr>
        <w:bidi w:val="1"/>
        <w:spacing w:after="200"/>
        <w:jc w:val="center"/>
      </w:pPr>
      <w:r>
        <w:rPr>
          <w:b w:val="0"/>
          <w:color w:val="595959"/>
          <w:sz w:val="30"/>
          <w:rtl w:val="1"/>
          <w:rFonts w:ascii="Arial" w:hAnsi="Arial" w:cs="Arial" w:eastAsia="Arial"/>
        </w:rPr>
        <w:t>صياغة منقحة على منهج أهل السنة والجماعة</w:t>
      </w:r>
    </w:p>
    <w:p>
      <w:pPr>
        <w:bidi w:val="1"/>
        <w:spacing w:after="120"/>
        <w:jc w:val="center"/>
      </w:pPr>
      <w:r>
        <w:rPr>
          <w:color w:val="595959"/>
          <w:sz w:val="24"/>
          <w:rtl w:val="1"/>
          <w:rFonts w:ascii="Arial" w:hAnsi="Arial" w:cs="Arial" w:eastAsia="Arial"/>
        </w:rPr>
        <w:t>مرجع تمهيدي مختصر في أصول الفهم والتفسير</w:t>
      </w:r>
    </w:p>
    <w:p>
      <w:pPr>
        <w:bidi w:val="1"/>
        <w:jc w:val="center"/>
      </w:pPr>
      <w:r>
        <w:rPr>
          <w:color w:val="1F4E79"/>
          <w:sz w:val="28"/>
          <w:rtl w:val="1"/>
          <w:rFonts w:ascii="Arial" w:hAnsi="Arial" w:cs="Arial" w:eastAsia="Arial"/>
        </w:rPr>
        <w:t>● ● ●</w:t>
      </w:r>
    </w:p>
    <w:p>
      <w:r>
        <w:br w:type="page"/>
      </w:r>
    </w:p>
    <w:p>
      <w:pPr>
        <w:bidi w:val="1"/>
        <w:spacing w:before="240" w:after="120" w:line="288" w:lineRule="auto"/>
        <w:ind w:firstLine="0"/>
        <w:jc w:val="right"/>
      </w:pPr>
      <w:r>
        <w:rPr>
          <w:b/>
          <w:color w:val="1F4E79"/>
          <w:sz w:val="32"/>
          <w:rtl w:val="1"/>
          <w:rFonts w:ascii="Arial" w:hAnsi="Arial" w:cs="Arial" w:eastAsia="Arial"/>
        </w:rPr>
        <w:t>مقدمة</w:t>
      </w:r>
    </w:p>
    <w:p>
      <w:pPr>
        <w:bidi w:val="1"/>
        <w:spacing w:after="120" w:line="324" w:lineRule="auto"/>
        <w:ind w:firstLine="340"/>
        <w:jc w:val="right"/>
      </w:pPr>
      <w:r>
        <w:rPr>
          <w:b w:val="0"/>
          <w:sz w:val="24"/>
          <w:rtl w:val="1"/>
          <w:rFonts w:ascii="Arial" w:hAnsi="Arial" w:cs="Arial" w:eastAsia="Arial"/>
        </w:rPr>
        <w:t>الحمد لله رب العالمين، وصلى الله وسلم وبارك على نبينا محمد، وعلى آله وصحبه أجمعين. أما بعد؛ فإن القرآن الكريم كتاب هداية ورحمة وبيان، أنزله الله تعالى بلسان عربي مبين، وجعل فهمه على الوجه الصحيح من أشرف العلوم وأجلّها. ولا يكون تدبّر القرآن نافعًا إلا إذا سار على أصول صحيحة تضبط الفهم، وتمنع من القول على الله بغير علم، وتردّ المتشابه إلى المحكم، وتربط المعنى بما ثبت عن رسول الله صلى الله عليه وسلم وعن السلف الصالح من الصحابة والتابعين ومن سار على سبيلهم.</w:t>
      </w:r>
    </w:p>
    <w:p>
      <w:pPr>
        <w:bidi w:val="1"/>
        <w:spacing w:after="120" w:line="324" w:lineRule="auto"/>
        <w:ind w:firstLine="340"/>
        <w:jc w:val="right"/>
      </w:pPr>
      <w:r>
        <w:rPr>
          <w:b w:val="0"/>
          <w:sz w:val="24"/>
          <w:rtl w:val="1"/>
          <w:rFonts w:ascii="Arial" w:hAnsi="Arial" w:cs="Arial" w:eastAsia="Arial"/>
        </w:rPr>
        <w:t>وهذا النص يقدّم قواعد أساسية مختصرة لتدبّر القرآن على منهج أهل السنة والجماعة، مع احترام أقوال الأئمة والمفسرين، والاعتراف بقدر اللغة العربية ومكانتها، دون أن تُجعل الاحتمالات اللغوية المجرّدة حاكمة على ما ثبت من نصوص الوحي وفهم السلف. كما يراعي هذا العرض ما قرره أهل العلم في المذاهب الفقهية الأربعة: الحنفي والمالكي والشافعي والحنبلي، مع التفريق بين مسائل الاتفاق ومسائل الاجتهاد السائغ.</w:t>
      </w:r>
    </w:p>
    <w:p>
      <w:pPr>
        <w:bidi w:val="1"/>
        <w:spacing w:after="120" w:line="324" w:lineRule="auto"/>
        <w:ind w:firstLine="340"/>
        <w:jc w:val="right"/>
      </w:pPr>
      <w:r>
        <w:rPr>
          <w:b w:val="0"/>
          <w:sz w:val="24"/>
          <w:rtl w:val="1"/>
          <w:rFonts w:ascii="Arial" w:hAnsi="Arial" w:cs="Arial" w:eastAsia="Arial"/>
        </w:rPr>
        <w:t>والمقصود بهذه القواعد أن تكون مدخلًا نافعًا للمسلم في تعامله مع كتاب الله تعالى: يزداد بها تعظيمًا للقرآن، وحسنًا في الفهم، وأدبًا في الاستنباط، وورعًا عن إطلاق الأحكام أو بناء الاعتقاد على مجرد الخواطر أو النظريات اللغوية غير المنضبطة.</w:t>
      </w:r>
    </w:p>
    <w:p>
      <w:pPr>
        <w:bidi w:val="1"/>
        <w:spacing w:before="240" w:after="120" w:line="288" w:lineRule="auto"/>
        <w:ind w:firstLine="0"/>
        <w:jc w:val="right"/>
      </w:pPr>
      <w:r>
        <w:rPr>
          <w:b/>
          <w:color w:val="1F4E79"/>
          <w:sz w:val="32"/>
          <w:rtl w:val="1"/>
          <w:rFonts w:ascii="Arial" w:hAnsi="Arial" w:cs="Arial" w:eastAsia="Arial"/>
        </w:rPr>
        <w:t>القاعدة الأولى: القرآن يُفهم بأصول التفسير المعتبرة</w:t>
      </w:r>
    </w:p>
    <w:p>
      <w:pPr>
        <w:bidi w:val="1"/>
        <w:spacing w:after="120" w:line="324" w:lineRule="auto"/>
        <w:ind w:firstLine="340"/>
        <w:jc w:val="right"/>
      </w:pPr>
      <w:r>
        <w:rPr>
          <w:b w:val="0"/>
          <w:sz w:val="24"/>
          <w:rtl w:val="1"/>
          <w:rFonts w:ascii="Arial" w:hAnsi="Arial" w:cs="Arial" w:eastAsia="Arial"/>
        </w:rPr>
        <w:t>أصل التفسير عند أهل السنة والجماعة يقوم على مراتب معروفة عند أهل العلم: تفسير القرآن بالقرآن، ثم تفسيره بالسنة الصحيحة، ثم بما ثبت عن الصحابة رضي الله عنهم، ثم بأقوال التابعين وأئمة التفسير، مع الاستفادة من لسان العرب وقواعده، ومراعاة السياق وأسباب النزول والقراءات الثابتة. وهذه الأصول ليست متعارضة، بل يكمّل بعضها بعضًا، ويُردّ بعضها إلى بعض عند الاشتباه.</w:t>
      </w:r>
    </w:p>
    <w:p>
      <w:pPr>
        <w:bidi w:val="1"/>
        <w:spacing w:after="120" w:line="324" w:lineRule="auto"/>
        <w:ind w:firstLine="340"/>
        <w:jc w:val="right"/>
      </w:pPr>
      <w:r>
        <w:rPr>
          <w:b w:val="0"/>
          <w:sz w:val="24"/>
          <w:rtl w:val="1"/>
          <w:rFonts w:ascii="Arial" w:hAnsi="Arial" w:cs="Arial" w:eastAsia="Arial"/>
        </w:rPr>
        <w:t>ولا يجوز إحداث منهج مستقل يجعل الفهم مبنيًا على الذوق الشخصي، أو على قراءة رمزية مفتوحة، أو على تحليل لغوي منفصل عن السنة وآثار السلف. فاللغة آلة للفهم، لكنها ليست وحدها مصدرًا كافيًا في كل باب، ولا سيما في مسائل العقيدة والأحكام والقصص والأخبار عن الغيب.</w:t>
      </w:r>
    </w:p>
    <w:p>
      <w:pPr>
        <w:bidi w:val="1"/>
        <w:spacing w:before="240" w:after="120" w:line="288" w:lineRule="auto"/>
        <w:ind w:firstLine="0"/>
        <w:jc w:val="right"/>
      </w:pPr>
      <w:r>
        <w:rPr>
          <w:b/>
          <w:color w:val="1F4E79"/>
          <w:sz w:val="32"/>
          <w:rtl w:val="1"/>
          <w:rFonts w:ascii="Arial" w:hAnsi="Arial" w:cs="Arial" w:eastAsia="Arial"/>
        </w:rPr>
        <w:t>القاعدة الثانية: العربية شرف القرآن وآلة فهمه</w:t>
      </w:r>
    </w:p>
    <w:p>
      <w:pPr>
        <w:bidi w:val="1"/>
        <w:spacing w:after="120" w:line="324" w:lineRule="auto"/>
        <w:ind w:firstLine="340"/>
        <w:jc w:val="right"/>
      </w:pPr>
      <w:r>
        <w:rPr>
          <w:b w:val="0"/>
          <w:sz w:val="24"/>
          <w:rtl w:val="1"/>
          <w:rFonts w:ascii="Arial" w:hAnsi="Arial" w:cs="Arial" w:eastAsia="Arial"/>
        </w:rPr>
        <w:t>أنزل الله تعالى القرآن بلسان عربي مبين، ففهم العربية من أعظم ما يعين على تدبّر القرآن. ويُرجع في بيان الألفاظ والتراكيب إلى لسان العرب واستعمالاتها المعروفة، وإلى ما دوّنه أهل اللغة من المعاجم والشواهد، مع الانتباه إلى أن دلالة الكلمة تتأثر بالسياق الذي وردت فيه، وباقترانها بما قبلها وما بعدها.</w:t>
      </w:r>
    </w:p>
    <w:p>
      <w:pPr>
        <w:bidi w:val="1"/>
        <w:spacing w:after="120" w:line="324" w:lineRule="auto"/>
        <w:ind w:firstLine="340"/>
        <w:jc w:val="right"/>
      </w:pPr>
      <w:r>
        <w:rPr>
          <w:b w:val="0"/>
          <w:sz w:val="24"/>
          <w:rtl w:val="1"/>
          <w:rFonts w:ascii="Arial" w:hAnsi="Arial" w:cs="Arial" w:eastAsia="Arial"/>
        </w:rPr>
        <w:t>غير أن مراعاة العربية لا تعني التوسع في الاشتقاقات البعيدة، ولا بناء المعاني على احتمالات لا يشهد لها الاستعمال العربي ولا سياق الآية ولا تفسير السلف. فالواجب حمل الكلام على المعنى العربي الصحيح الأقرب الذي تشهد له أدلة التفسير، لا على معانٍ مستحدثة أو تكلفات نظرية تُخرج النص عن مقصوده.</w:t>
      </w:r>
    </w:p>
    <w:p>
      <w:pPr>
        <w:bidi w:val="1"/>
        <w:spacing w:before="240" w:after="120" w:line="288" w:lineRule="auto"/>
        <w:ind w:firstLine="0"/>
        <w:jc w:val="right"/>
      </w:pPr>
      <w:r>
        <w:rPr>
          <w:b/>
          <w:color w:val="1F4E79"/>
          <w:sz w:val="32"/>
          <w:rtl w:val="1"/>
          <w:rFonts w:ascii="Arial" w:hAnsi="Arial" w:cs="Arial" w:eastAsia="Arial"/>
        </w:rPr>
        <w:t>القاعدة الثالثة: تفسير القرآن بالقرآن</w:t>
      </w:r>
    </w:p>
    <w:p>
      <w:pPr>
        <w:bidi w:val="1"/>
        <w:spacing w:after="120" w:line="324" w:lineRule="auto"/>
        <w:ind w:firstLine="340"/>
        <w:jc w:val="right"/>
      </w:pPr>
      <w:r>
        <w:rPr>
          <w:b w:val="0"/>
          <w:sz w:val="24"/>
          <w:rtl w:val="1"/>
          <w:rFonts w:ascii="Arial" w:hAnsi="Arial" w:cs="Arial" w:eastAsia="Arial"/>
        </w:rPr>
        <w:t>من أعظم أبواب الفهم أن تُجمع الآيات الواردة في الباب الواحد، فيُفسّر مجملها بمبيَّنها، ويُقيَّد مطلقها بمقيَّدها، ويُحمل عامها على ما خصّه الدليل، ويُردّ متشابهها إلى محكمها. فهذه الطريقة تجمع النصوص ولا تفرّقها، وتمنع من بناء الحكم أو المعنى على آية منفردة مع إهمال سائر ما ورد في الباب نفسه.</w:t>
      </w:r>
    </w:p>
    <w:p>
      <w:pPr>
        <w:bidi w:val="1"/>
        <w:spacing w:after="120" w:line="324" w:lineRule="auto"/>
        <w:ind w:firstLine="340"/>
        <w:jc w:val="right"/>
      </w:pPr>
      <w:r>
        <w:rPr>
          <w:b w:val="0"/>
          <w:sz w:val="24"/>
          <w:rtl w:val="1"/>
          <w:rFonts w:ascii="Arial" w:hAnsi="Arial" w:cs="Arial" w:eastAsia="Arial"/>
        </w:rPr>
        <w:t>ولهذا كان أهل العلم يعتنون بجمع النصوص قبل الترجيح، لأن الإشكال كثيرًا ما يزول إذا نُظر إلى جميع الآيات نظرة واحدة. ومن الخطأ الاقتصار على موضع واحد ثم بناء نتائج كلية في العقيدة أو الفقه أو الأخلاق دون استقراء بقية النصوص.</w:t>
      </w:r>
    </w:p>
    <w:p>
      <w:pPr>
        <w:bidi w:val="1"/>
        <w:spacing w:before="240" w:after="120" w:line="288" w:lineRule="auto"/>
        <w:ind w:firstLine="0"/>
        <w:jc w:val="right"/>
      </w:pPr>
      <w:r>
        <w:rPr>
          <w:b/>
          <w:color w:val="1F4E79"/>
          <w:sz w:val="32"/>
          <w:rtl w:val="1"/>
          <w:rFonts w:ascii="Arial" w:hAnsi="Arial" w:cs="Arial" w:eastAsia="Arial"/>
        </w:rPr>
        <w:t>القاعدة الرابعة: تفسير القرآن بالسنة الصحيحة</w:t>
      </w:r>
    </w:p>
    <w:p>
      <w:pPr>
        <w:bidi w:val="1"/>
        <w:spacing w:after="120" w:line="324" w:lineRule="auto"/>
        <w:ind w:firstLine="340"/>
        <w:jc w:val="right"/>
      </w:pPr>
      <w:r>
        <w:rPr>
          <w:b w:val="0"/>
          <w:sz w:val="24"/>
          <w:rtl w:val="1"/>
          <w:rFonts w:ascii="Arial" w:hAnsi="Arial" w:cs="Arial" w:eastAsia="Arial"/>
        </w:rPr>
        <w:t>السنة النبوية وحي من الله تعالى، وقد جعلها الله مبيّنة لكتابه، كما قال سبحانه: ﴿وأنزلنا إليك الذكر لتبيّن للناس ما نُزّل إليهم﴾. ولذلك لا يستغني المفسّر عن الرجوع إلى الأحاديث الصحيحة والآثار الثابتة فيما يبيّن المجمل، ويخصص العام، ويقيد المطلق، ويشرح سبب النزول أو المراد من الآية.</w:t>
      </w:r>
    </w:p>
    <w:p>
      <w:pPr>
        <w:bidi w:val="1"/>
        <w:spacing w:after="120" w:line="324" w:lineRule="auto"/>
        <w:ind w:firstLine="340"/>
        <w:jc w:val="right"/>
      </w:pPr>
      <w:r>
        <w:rPr>
          <w:b w:val="0"/>
          <w:sz w:val="24"/>
          <w:rtl w:val="1"/>
          <w:rFonts w:ascii="Arial" w:hAnsi="Arial" w:cs="Arial" w:eastAsia="Arial"/>
        </w:rPr>
        <w:t>ولا يجوز ردّ الحديث الصحيح بحجة موافقة رأي لغوي أو تصور ذهني مسبق. كما لا يجوز الاستدلال بالأحاديث الضعيفة أو الموضوعة في تفسير القرآن أو تقرير العقائد والأحكام. والواجب التحري في النقل، والرجوع إلى أهل العلم في التصحيح والتضعيف عند الحاجة.</w:t>
      </w:r>
    </w:p>
    <w:p>
      <w:pPr>
        <w:bidi w:val="1"/>
        <w:spacing w:before="240" w:after="120" w:line="288" w:lineRule="auto"/>
        <w:ind w:firstLine="0"/>
        <w:jc w:val="right"/>
      </w:pPr>
      <w:r>
        <w:rPr>
          <w:b/>
          <w:color w:val="1F4E79"/>
          <w:sz w:val="32"/>
          <w:rtl w:val="1"/>
          <w:rFonts w:ascii="Arial" w:hAnsi="Arial" w:cs="Arial" w:eastAsia="Arial"/>
        </w:rPr>
        <w:t>القاعدة الخامسة: فهم الصحابة والسلف أصل معتبر</w:t>
      </w:r>
    </w:p>
    <w:p>
      <w:pPr>
        <w:bidi w:val="1"/>
        <w:spacing w:after="120" w:line="324" w:lineRule="auto"/>
        <w:ind w:firstLine="340"/>
        <w:jc w:val="right"/>
      </w:pPr>
      <w:r>
        <w:rPr>
          <w:b w:val="0"/>
          <w:sz w:val="24"/>
          <w:rtl w:val="1"/>
          <w:rFonts w:ascii="Arial" w:hAnsi="Arial" w:cs="Arial" w:eastAsia="Arial"/>
        </w:rPr>
        <w:t>الصحابة رضي الله عنهم أعلم الأمة بكتاب الله بعد نبيها صلى الله عليه وسلم، لأنهم شهدوا التنزيل، وعرفوا أسباب النزول، وتلقوا البيان النبوي مباشرة، وسلِمت ألسنتهم وقلوبهم من كثير من المحدثات التي ظهرت بعدهم. ولهذا كان لآثارهم في التفسير منزلة عظيمة عند أهل السنة.</w:t>
      </w:r>
    </w:p>
    <w:p>
      <w:pPr>
        <w:bidi w:val="1"/>
        <w:spacing w:after="120" w:line="324" w:lineRule="auto"/>
        <w:ind w:firstLine="340"/>
        <w:jc w:val="right"/>
      </w:pPr>
      <w:r>
        <w:rPr>
          <w:b w:val="0"/>
          <w:sz w:val="24"/>
          <w:rtl w:val="1"/>
          <w:rFonts w:ascii="Arial" w:hAnsi="Arial" w:cs="Arial" w:eastAsia="Arial"/>
        </w:rPr>
        <w:t>كما يُستفاد من أقوال التابعين وأئمة التفسير المعتبرين، مثل تفسير الطبري وابن كثير والبغوي والقرطبي وغيرهم، مع فقه مناهجهم وتمييز ما ثبت عمن لم يثبت، وما هو تفسير بالمأثور مما هو اجتهاد أو ترجيح. وليس معنى هذا غلق باب الفهم، بل معناه أن يكون الفهم منضبطًا بأصول العلم لا منفلتًا عنها.</w:t>
      </w:r>
    </w:p>
    <w:p>
      <w:pPr>
        <w:bidi w:val="1"/>
        <w:spacing w:before="240" w:after="120" w:line="288" w:lineRule="auto"/>
        <w:ind w:firstLine="0"/>
        <w:jc w:val="right"/>
      </w:pPr>
      <w:r>
        <w:rPr>
          <w:b/>
          <w:color w:val="1F4E79"/>
          <w:sz w:val="32"/>
          <w:rtl w:val="1"/>
          <w:rFonts w:ascii="Arial" w:hAnsi="Arial" w:cs="Arial" w:eastAsia="Arial"/>
        </w:rPr>
        <w:t>القاعدة السادسة: مراعاة السياق وأسباب النزول</w:t>
      </w:r>
    </w:p>
    <w:p>
      <w:pPr>
        <w:bidi w:val="1"/>
        <w:spacing w:after="120" w:line="324" w:lineRule="auto"/>
        <w:ind w:firstLine="340"/>
        <w:jc w:val="right"/>
      </w:pPr>
      <w:r>
        <w:rPr>
          <w:b w:val="0"/>
          <w:sz w:val="24"/>
          <w:rtl w:val="1"/>
          <w:rFonts w:ascii="Arial" w:hAnsi="Arial" w:cs="Arial" w:eastAsia="Arial"/>
        </w:rPr>
        <w:t>السياق من أعظم مفاتيح الفهم؛ فالكلمة قد تتعدد معانيها في أصل اللغة، ثم يعيّن السياق المراد منها في الآية. وكذلك الجمل والضمائر والترتيب والانتقال بين الخطاب والغَيبة، والسبب الذي نزلت فيه الآية، كلها أمور تُعين على الفهم الصحيح وتدفع الوهم والاضطراب.</w:t>
      </w:r>
    </w:p>
    <w:p>
      <w:pPr>
        <w:bidi w:val="1"/>
        <w:spacing w:after="120" w:line="324" w:lineRule="auto"/>
        <w:ind w:firstLine="340"/>
        <w:jc w:val="right"/>
      </w:pPr>
      <w:r>
        <w:rPr>
          <w:b w:val="0"/>
          <w:sz w:val="24"/>
          <w:rtl w:val="1"/>
          <w:rFonts w:ascii="Arial" w:hAnsi="Arial" w:cs="Arial" w:eastAsia="Arial"/>
        </w:rPr>
        <w:t>وأسباب النزول باب نافع إذا ثبتت الرواية فيه، لأنه يوضح الملابسات التي نزلت فيها الآية، ويكشف وجه الخطاب، ويمنع من تنزيل النص على غير موضعه. لكن العبرة بعموم اللفظ لا بخصوص السبب إذا دل الدليل على ذلك، فلا تُلغى دلالة الآية العامة بسبب قصة النزول، كما لا تُترك القصة الثابتة عند تفسير الآية.</w:t>
      </w:r>
    </w:p>
    <w:p>
      <w:pPr>
        <w:bidi w:val="1"/>
        <w:spacing w:before="240" w:after="120" w:line="288" w:lineRule="auto"/>
        <w:ind w:firstLine="0"/>
        <w:jc w:val="right"/>
      </w:pPr>
      <w:r>
        <w:rPr>
          <w:b/>
          <w:color w:val="1F4E79"/>
          <w:sz w:val="32"/>
          <w:rtl w:val="1"/>
          <w:rFonts w:ascii="Arial" w:hAnsi="Arial" w:cs="Arial" w:eastAsia="Arial"/>
        </w:rPr>
        <w:t>القاعدة السابعة: جمع النصوص وردّ المتشابه إلى المحكم</w:t>
      </w:r>
    </w:p>
    <w:p>
      <w:pPr>
        <w:bidi w:val="1"/>
        <w:spacing w:after="120" w:line="324" w:lineRule="auto"/>
        <w:ind w:firstLine="340"/>
        <w:jc w:val="right"/>
      </w:pPr>
      <w:r>
        <w:rPr>
          <w:b w:val="0"/>
          <w:sz w:val="24"/>
          <w:rtl w:val="1"/>
          <w:rFonts w:ascii="Arial" w:hAnsi="Arial" w:cs="Arial" w:eastAsia="Arial"/>
        </w:rPr>
        <w:t>من أصول أهل السنة أن المحكم أصلٌ يُرجع إليه، وأن المتشابه يُفهم في ضوء المحكم، لا أن يُجعل المتشابه أصلًا تُردّ إليه النصوص البيّنات. وهذه القاعدة لازمة في أبواب العقيدة والأسماء والصفات والقدر والوعد والوعيد، كما هي لازمة في أبواب الأحكام والآداب.</w:t>
      </w:r>
    </w:p>
    <w:p>
      <w:pPr>
        <w:bidi w:val="1"/>
        <w:spacing w:after="120" w:line="324" w:lineRule="auto"/>
        <w:ind w:firstLine="340"/>
        <w:jc w:val="right"/>
      </w:pPr>
      <w:r>
        <w:rPr>
          <w:b w:val="0"/>
          <w:sz w:val="24"/>
          <w:rtl w:val="1"/>
          <w:rFonts w:ascii="Arial" w:hAnsi="Arial" w:cs="Arial" w:eastAsia="Arial"/>
        </w:rPr>
        <w:t>وعند ورود النصوص التي يقع فيها الاشتباه، فالواجب الوقوف عند حدود العلم، وردّ ما أشكل إلى ما بيّنه الله ورسوله، وسلوك سبيل أهل العلم الراسخين. وبذلك يَسلم المسلم من الإفراط والتفريط، ومن تحميل النصوص ما لا تحتمل.</w:t>
      </w:r>
    </w:p>
    <w:p>
      <w:pPr>
        <w:bidi w:val="1"/>
        <w:spacing w:before="240" w:after="120" w:line="288" w:lineRule="auto"/>
        <w:ind w:firstLine="0"/>
        <w:jc w:val="right"/>
      </w:pPr>
      <w:r>
        <w:rPr>
          <w:b/>
          <w:color w:val="1F4E79"/>
          <w:sz w:val="32"/>
          <w:rtl w:val="1"/>
          <w:rFonts w:ascii="Arial" w:hAnsi="Arial" w:cs="Arial" w:eastAsia="Arial"/>
        </w:rPr>
        <w:t>القاعدة الثامنة: آيات الأحكام تُفهم على ضوء الفقه المعتبر</w:t>
      </w:r>
    </w:p>
    <w:p>
      <w:pPr>
        <w:bidi w:val="1"/>
        <w:spacing w:after="120" w:line="324" w:lineRule="auto"/>
        <w:ind w:firstLine="340"/>
        <w:jc w:val="right"/>
      </w:pPr>
      <w:r>
        <w:rPr>
          <w:b w:val="0"/>
          <w:sz w:val="24"/>
          <w:rtl w:val="1"/>
          <w:rFonts w:ascii="Arial" w:hAnsi="Arial" w:cs="Arial" w:eastAsia="Arial"/>
        </w:rPr>
        <w:t>آيات الأحكام لا تُتناول بالقراءة المجردة وحدها، بل تحتاج إلى علم بأصول الفقه، والناسخ والمنسوخ، والعام والخاص، والمطلق والمقيّد، ودلالات الألفاظ، والقياس الصحيح، ومراتب الأدلة. ولهذا قرر أهل العلم أن الفتوى والاجتهاد ليسا لكل أحد، وأن من لم تتأهل آلته العلمية ففرضه سؤال أهل الذكر.</w:t>
      </w:r>
    </w:p>
    <w:p>
      <w:pPr>
        <w:bidi w:val="1"/>
        <w:spacing w:after="120" w:line="324" w:lineRule="auto"/>
        <w:ind w:firstLine="340"/>
        <w:jc w:val="right"/>
      </w:pPr>
      <w:r>
        <w:rPr>
          <w:b w:val="0"/>
          <w:sz w:val="24"/>
          <w:rtl w:val="1"/>
          <w:rFonts w:ascii="Arial" w:hAnsi="Arial" w:cs="Arial" w:eastAsia="Arial"/>
        </w:rPr>
        <w:t>وأقوال الأئمة في المذاهب الأربعة مدارس معتبرة في فهم الأحكام وتنزيلها، ولا يجوز ازدراؤها أو تصويرها على أنها مجرد آراء بشرية لا وزن لها. كما لا يجوز تتبع الرخص أو فتح باب القول الشاذ باسم التحرر من التقليد. بل الواجب توقير العلم وأهله، وفهم مواضع الاتفاق والخلاف، ومعرفة أن الخلاف السائغ لا يبيح العدوان ولا التبديع بغير حق.</w:t>
      </w:r>
    </w:p>
    <w:p>
      <w:pPr>
        <w:bidi w:val="1"/>
        <w:spacing w:before="240" w:after="120" w:line="288" w:lineRule="auto"/>
        <w:ind w:firstLine="0"/>
        <w:jc w:val="right"/>
      </w:pPr>
      <w:r>
        <w:rPr>
          <w:b/>
          <w:color w:val="1F4E79"/>
          <w:sz w:val="32"/>
          <w:rtl w:val="1"/>
          <w:rFonts w:ascii="Arial" w:hAnsi="Arial" w:cs="Arial" w:eastAsia="Arial"/>
        </w:rPr>
        <w:t>القاعدة التاسعة: التمييز بين التدبّر المشروع والقول على الله بغير علم</w:t>
      </w:r>
    </w:p>
    <w:p>
      <w:pPr>
        <w:bidi w:val="1"/>
        <w:spacing w:after="120" w:line="324" w:lineRule="auto"/>
        <w:ind w:firstLine="340"/>
        <w:jc w:val="right"/>
      </w:pPr>
      <w:r>
        <w:rPr>
          <w:b w:val="0"/>
          <w:sz w:val="24"/>
          <w:rtl w:val="1"/>
          <w:rFonts w:ascii="Arial" w:hAnsi="Arial" w:cs="Arial" w:eastAsia="Arial"/>
        </w:rPr>
        <w:t>التدبّر المشروع هو نظر القلب والعقل في معاني القرآن بقصد الاتعاظ والعمل والانتفاع، مع الالتزام بأصول العلم وأدب التلقي. أما القول على الله بغير علم فهو الجزم بمعنى لم يقم عليه دليل معتبر، أو اختراع تفسير جديد يخالف ما عليه أهل العلم، أو تحميل الآيات ما لا تحتمله من النظريات والرموز والإسقاطات.</w:t>
      </w:r>
    </w:p>
    <w:p>
      <w:pPr>
        <w:bidi w:val="1"/>
        <w:spacing w:after="120" w:line="324" w:lineRule="auto"/>
        <w:ind w:firstLine="340"/>
        <w:jc w:val="right"/>
      </w:pPr>
      <w:r>
        <w:rPr>
          <w:b w:val="0"/>
          <w:sz w:val="24"/>
          <w:rtl w:val="1"/>
          <w:rFonts w:ascii="Arial" w:hAnsi="Arial" w:cs="Arial" w:eastAsia="Arial"/>
        </w:rPr>
        <w:t>وليس كل ما يخطر للإنسان عند قراءة القرآن يصلح أن يُنسب إلى مراد الله تعالى. فالخواطر الإيمانية واللطائف الوعظية إن لم تخالف أصلًا شرعيًا جاز الانتفاع بها على أنها تذكير واستنباط حسن، لكن لا يجوز تحويلها إلى تفسير ملزم، ولا إلى أصل تُبنى عليه العقائد والأحكام.</w:t>
      </w:r>
    </w:p>
    <w:p>
      <w:pPr>
        <w:bidi w:val="1"/>
        <w:spacing w:before="240" w:after="120" w:line="288" w:lineRule="auto"/>
        <w:ind w:firstLine="0"/>
        <w:jc w:val="right"/>
      </w:pPr>
      <w:r>
        <w:rPr>
          <w:b/>
          <w:color w:val="1F4E79"/>
          <w:sz w:val="32"/>
          <w:rtl w:val="1"/>
          <w:rFonts w:ascii="Arial" w:hAnsi="Arial" w:cs="Arial" w:eastAsia="Arial"/>
        </w:rPr>
        <w:t>القاعدة العاشرة: آداب طالب التفسير والمتدبّر</w:t>
      </w:r>
    </w:p>
    <w:p>
      <w:pPr>
        <w:bidi w:val="1"/>
        <w:spacing w:after="120" w:line="324" w:lineRule="auto"/>
        <w:ind w:firstLine="340"/>
        <w:jc w:val="right"/>
      </w:pPr>
      <w:r>
        <w:rPr>
          <w:b w:val="0"/>
          <w:sz w:val="24"/>
          <w:rtl w:val="1"/>
          <w:rFonts w:ascii="Arial" w:hAnsi="Arial" w:cs="Arial" w:eastAsia="Arial"/>
        </w:rPr>
        <w:t>من أهم الآداب: إخلاص النية لله تعالى، وتعظيم كلامه، والوقوف عند حدوده، وحسن الظن بأهل العلم، والتثبت في النقل، وترك العجلة في الترجيح، والرجوع إلى العلماء عند الإشكال، والتمييز بين مقام التعلّم ومقام الفتوى، وبين ما هو من قبيل الوعظ وما هو من قبيل التقرير العلمي.</w:t>
      </w:r>
    </w:p>
    <w:p>
      <w:pPr>
        <w:bidi w:val="1"/>
        <w:spacing w:after="120" w:line="324" w:lineRule="auto"/>
        <w:ind w:firstLine="340"/>
        <w:jc w:val="right"/>
      </w:pPr>
      <w:r>
        <w:rPr>
          <w:b w:val="0"/>
          <w:sz w:val="24"/>
          <w:rtl w:val="1"/>
          <w:rFonts w:ascii="Arial" w:hAnsi="Arial" w:cs="Arial" w:eastAsia="Arial"/>
        </w:rPr>
        <w:t>كما ينبغي للمسلم أن يجمع بين التدبّر والعمل؛ فالقرآن لم ينزل ليكون مادة جدل، وإنما أنزل للهداية والإصلاح. ومن ثمرات التدبّر الصحيح زيادة الإيمان، وتصحيح العبادة، وتهذيب السلوك، وتحقيق العبودية لله تعالى على بصيرة.</w:t>
      </w:r>
    </w:p>
    <w:p>
      <w:pPr>
        <w:bidi w:val="1"/>
        <w:spacing w:before="240" w:after="120" w:line="288" w:lineRule="auto"/>
        <w:ind w:firstLine="0"/>
        <w:jc w:val="right"/>
      </w:pPr>
      <w:r>
        <w:rPr>
          <w:b/>
          <w:color w:val="1F4E79"/>
          <w:sz w:val="32"/>
          <w:rtl w:val="1"/>
          <w:rFonts w:ascii="Arial" w:hAnsi="Arial" w:cs="Arial" w:eastAsia="Arial"/>
        </w:rPr>
        <w:t>خاتمة</w:t>
      </w:r>
    </w:p>
    <w:p>
      <w:pPr>
        <w:bidi w:val="1"/>
        <w:spacing w:after="120" w:line="324" w:lineRule="auto"/>
        <w:ind w:firstLine="340"/>
        <w:jc w:val="right"/>
      </w:pPr>
      <w:r>
        <w:rPr>
          <w:b w:val="0"/>
          <w:sz w:val="24"/>
          <w:rtl w:val="1"/>
          <w:rFonts w:ascii="Arial" w:hAnsi="Arial" w:cs="Arial" w:eastAsia="Arial"/>
        </w:rPr>
        <w:t>هذه القواعد الأساسية مقصودها ضبط الطريق، لا استيعاب جميع مسائل علوم القرآن والتفسير. فمن أراد التوسع رجع إلى كتب التفسير المعتمدة، وكتب أصول التفسير وعلوم القرآن، وسأل أهل العلم عما أشكل عليه. والمنهج السليم في التعامل مع القرآن يجمع بين التسليم للوحي، وفهم العربية، وتعظيم السنة، والاقتداء بالسلف، واحترام اجتهادات الأئمة، والحذر من القول على الله بغير علم.</w:t>
      </w:r>
    </w:p>
    <w:p>
      <w:pPr>
        <w:bidi w:val="1"/>
        <w:spacing w:after="120" w:line="324" w:lineRule="auto"/>
        <w:ind w:firstLine="340"/>
        <w:jc w:val="right"/>
      </w:pPr>
      <w:r>
        <w:rPr>
          <w:b w:val="0"/>
          <w:sz w:val="24"/>
          <w:rtl w:val="1"/>
          <w:rFonts w:ascii="Arial" w:hAnsi="Arial" w:cs="Arial" w:eastAsia="Arial"/>
        </w:rPr>
        <w:t>ونسأل الله تعالى أن يفتح لنا في كتابه فتحًا مباركًا، وأن يرزقنا فهمًا صحيحًا، وقلبًا خاشعًا، وعملًا صالحًا، وأن يجعل القرآن العظيم ربيع قلوبنا ونور صدورنا وهدى لنا في الدنيا والآخرة. وصلى الله وسلم على نبينا محمد وعلى آله وصحبه أجمعين.</w:t>
      </w:r>
    </w:p>
    <w:p>
      <w:pPr>
        <w:bidi w:val="1"/>
        <w:spacing w:before="240" w:after="0"/>
        <w:ind w:left="227" w:right="227" w:firstLine="0"/>
        <w:jc w:val="right"/>
      </w:pPr>
      <w:r>
        <w:rPr>
          <w:color w:val="595959"/>
          <w:sz w:val="22"/>
          <w:rtl w:val="1"/>
          <w:rFonts w:ascii="Arial" w:hAnsi="Arial" w:cs="Arial" w:eastAsia="Arial"/>
        </w:rPr>
        <w:t>تنبيه: المقصود بهذا النص تقديم أصولٍ عامةٍ منضبطةٍ في فهم القرآن، وليس الاستغناء به عن الرجوع إلى أهل العلم في المسائل المشكلة أو النوازل أو أبواب الفتوى.</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