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start"/>
        <w:rPr/>
      </w:pPr>
      <w:r>
        <w:rPr>
          <w:rtl w:val="true"/>
        </w:rPr>
        <w:t>تيسير القرآن بلسان العرب</w:t>
      </w:r>
    </w:p>
    <w:p>
      <w:pPr>
        <w:pStyle w:val="PreformattedText"/>
        <w:bidi w:val="0"/>
        <w:spacing w:before="0" w:after="0"/>
        <w:jc w:val="start"/>
        <w:rPr/>
      </w:pPr>
      <w:r>
        <w:rPr/>
      </w:r>
    </w:p>
    <w:p>
      <w:pPr>
        <w:pStyle w:val="PreformattedText"/>
        <w:bidi w:val="0"/>
        <w:spacing w:before="0" w:after="0"/>
        <w:jc w:val="start"/>
        <w:rPr/>
      </w:pPr>
      <w:r>
        <w:rPr>
          <w:rtl w:val="true"/>
        </w:rPr>
        <w:t>مقدمة</w:t>
      </w:r>
    </w:p>
    <w:p>
      <w:pPr>
        <w:pStyle w:val="PreformattedText"/>
        <w:bidi w:val="0"/>
        <w:spacing w:before="0" w:after="0"/>
        <w:jc w:val="start"/>
        <w:rPr/>
      </w:pPr>
      <w:r>
        <w:rPr/>
      </w:r>
    </w:p>
    <w:p>
      <w:pPr>
        <w:pStyle w:val="PreformattedText"/>
        <w:bidi w:val="0"/>
        <w:spacing w:before="0" w:after="0"/>
        <w:jc w:val="start"/>
        <w:rPr/>
      </w:pPr>
      <w:r>
        <w:rPr>
          <w:rtl w:val="true"/>
        </w:rPr>
        <w:t>الحمد لله رب العالمين، وصلى الله وسلم وبارك على نبينا محمد، وعلى آله وصحبه أجمعين</w:t>
      </w:r>
      <w:r>
        <w:rPr>
          <w:rtl w:val="true"/>
        </w:rPr>
        <w:t xml:space="preserve">. </w:t>
      </w:r>
      <w:r>
        <w:rPr>
          <w:rtl w:val="true"/>
        </w:rPr>
        <w:t>أما بعد؛ فإن القرآن الكريم كتاب هداية ورحمة وبيان، أنزله الله تعالى بلسان عربي مبين، وجعل فهمه على الوجه الصحيح من أشرف العلوم وأجلّها</w:t>
      </w:r>
      <w:r>
        <w:rPr>
          <w:rtl w:val="true"/>
        </w:rPr>
        <w:t xml:space="preserve">. </w:t>
      </w:r>
      <w:r>
        <w:rPr>
          <w:rtl w:val="true"/>
        </w:rPr>
        <w:t>ولا يكون تدبر القرآن نافعًا إلا إذا سار على أصول صحيحة تضبط الفهم، وتمنع من القول على الله بغير علم، وتردّ المتشابه إلى المحكم، وتربط المعنى بما ثبت عن رسول الله صلى الله عليه وسلم وعن السلف الصالح من الصحابة والتابعين ومن سار على سبيلهم</w:t>
      </w:r>
      <w:r>
        <w:rPr/>
        <w:t>.</w:t>
      </w:r>
    </w:p>
    <w:p>
      <w:pPr>
        <w:pStyle w:val="PreformattedText"/>
        <w:bidi w:val="0"/>
        <w:spacing w:before="0" w:after="0"/>
        <w:jc w:val="start"/>
        <w:rPr/>
      </w:pPr>
      <w:r>
        <w:rPr/>
      </w:r>
    </w:p>
    <w:p>
      <w:pPr>
        <w:pStyle w:val="PreformattedText"/>
        <w:bidi w:val="0"/>
        <w:spacing w:before="0" w:after="0"/>
        <w:jc w:val="start"/>
        <w:rPr/>
      </w:pPr>
      <w:r>
        <w:rPr>
          <w:rtl w:val="true"/>
        </w:rPr>
        <w:t>وهذا العمل لا يدّعي تأسيس منهج جديد مستقل عن أصول التفسير المعروفة عند أهل السنة والجماعة، ولا يزعم الاستغناء عن جهود المفسرين والأئمة، بل المقصود به تقديم مادة مرتبة وميسرة تعين القارئ على تدبر القرآن في ضوء الأصول المعتبرة عند أهل العلم</w:t>
      </w:r>
      <w:r>
        <w:rPr>
          <w:rtl w:val="true"/>
        </w:rPr>
        <w:t xml:space="preserve">. </w:t>
      </w:r>
      <w:r>
        <w:rPr>
          <w:rtl w:val="true"/>
        </w:rPr>
        <w:t>فالمرجع في التفسير هو كتاب الله، ثم سنة رسوله صلى الله عليه وسلم، ثم ما ثبت عن الصحابة رضي الله عنهم، ثم أقوال التابعين وأئمة التفسير، مع الاستفادة من لسان العرب، ومراعاة السياق، وأسباب النزول، والقراءات الثابتة، وما قرره الفقهاء في أبواب الأحكام</w:t>
      </w:r>
      <w:r>
        <w:rPr/>
        <w:t>.</w:t>
      </w:r>
    </w:p>
    <w:p>
      <w:pPr>
        <w:pStyle w:val="PreformattedText"/>
        <w:bidi w:val="0"/>
        <w:spacing w:before="0" w:after="0"/>
        <w:jc w:val="start"/>
        <w:rPr/>
      </w:pPr>
      <w:r>
        <w:rPr/>
      </w:r>
    </w:p>
    <w:p>
      <w:pPr>
        <w:pStyle w:val="PreformattedText"/>
        <w:bidi w:val="0"/>
        <w:spacing w:before="0" w:after="0"/>
        <w:jc w:val="start"/>
        <w:rPr/>
      </w:pPr>
      <w:r>
        <w:rPr>
          <w:rtl w:val="true"/>
        </w:rPr>
        <w:t>وقد حفظ الله لهذه الأمة تراثًا عظيمًا في تفسير كتابه، وبذل العلماء عبر القرون جهودًا جليلة في بيان معاني القرآن، ومن أشهرهم الإمام الطبري والبغوي وابن عطية والقرطبي وابن كثير وغيرهم من أئمة التفسير، رحمهم الله جميعًا</w:t>
      </w:r>
      <w:r>
        <w:rPr>
          <w:rtl w:val="true"/>
        </w:rPr>
        <w:t xml:space="preserve">. </w:t>
      </w:r>
      <w:r>
        <w:rPr>
          <w:rtl w:val="true"/>
        </w:rPr>
        <w:t>ومن الواجب حفظ مكانة هذا التراث، والانتفاع به، ومعرفة مناهجه، والتمييز بين ما ثبت من الروايات وما لم يثبت، وما هو من قبيل التفسير بالمأثور، وما هو من باب الاجتهاد والترجيح</w:t>
      </w:r>
      <w:r>
        <w:rPr>
          <w:rtl w:val="true"/>
        </w:rPr>
        <w:t xml:space="preserve">. </w:t>
      </w:r>
      <w:r>
        <w:rPr>
          <w:rtl w:val="true"/>
        </w:rPr>
        <w:t>وليس معنى ذلك غلق باب الفهم، بل معناه أن يكون الفهم منضبطًا بأصول العلم، لا منفلتًا عنها</w:t>
      </w:r>
      <w:r>
        <w:rPr/>
        <w:t>.</w:t>
      </w:r>
    </w:p>
    <w:p>
      <w:pPr>
        <w:pStyle w:val="PreformattedText"/>
        <w:bidi w:val="0"/>
        <w:spacing w:before="0" w:after="0"/>
        <w:jc w:val="start"/>
        <w:rPr/>
      </w:pPr>
      <w:r>
        <w:rPr/>
      </w:r>
    </w:p>
    <w:p>
      <w:pPr>
        <w:pStyle w:val="PreformattedText"/>
        <w:bidi w:val="0"/>
        <w:spacing w:before="0" w:after="0"/>
        <w:jc w:val="start"/>
        <w:rPr/>
      </w:pPr>
      <w:r>
        <w:rPr>
          <w:rtl w:val="true"/>
        </w:rPr>
        <w:t>كما أن هذا العمل يلتزم تعظيم السنة النبوية، والإقرار بحجيتها في البيان والتفصيل، وأنها وحي من الله تعالى في باب التشريع والبيان، وأنه لا يستقيم فهم القرآن على الوجه الصحيح مع إهمال السنة أو ردّها أو تضعيف مكانتها</w:t>
      </w:r>
      <w:r>
        <w:rPr>
          <w:rtl w:val="true"/>
        </w:rPr>
        <w:t xml:space="preserve">. </w:t>
      </w:r>
      <w:r>
        <w:rPr>
          <w:rtl w:val="true"/>
        </w:rPr>
        <w:t>وكذلك يلتزم هذا العمل احترام ما استقر عليه فهم الأمة في الجملة، وعدم بناء العقائد أو الأحكام على فروق لغوية مجردة أو نظريات حادثة لم يدل عليها الوحي ولم يجرِ بها فهم أهل العلم</w:t>
      </w:r>
      <w:r>
        <w:rPr/>
        <w:t>.</w:t>
      </w:r>
    </w:p>
    <w:p>
      <w:pPr>
        <w:pStyle w:val="PreformattedText"/>
        <w:bidi w:val="0"/>
        <w:spacing w:before="0" w:after="0"/>
        <w:jc w:val="start"/>
        <w:rPr/>
      </w:pPr>
      <w:r>
        <w:rPr/>
      </w:r>
    </w:p>
    <w:p>
      <w:pPr>
        <w:pStyle w:val="PreformattedText"/>
        <w:bidi w:val="0"/>
        <w:spacing w:before="0" w:after="0"/>
        <w:jc w:val="start"/>
        <w:rPr/>
      </w:pPr>
      <w:r>
        <w:rPr>
          <w:rtl w:val="true"/>
        </w:rPr>
        <w:t>والمقصود من هذا التيسير أن يكون معينًا للقارئ المعاصر على فهم الألفاظ والعبارات والمعاني القرآنية فهمًا أوضح، مع المحافظة على جلال النص وأصالته، من غير تحريف، ولا تحميل للآيات ما لا تحتمل، ولا نقل للمعاني إلى اصطلاحات محدثة تصادم ما عليه جمهور المفسرين والفقهاء</w:t>
      </w:r>
      <w:r>
        <w:rPr>
          <w:rtl w:val="true"/>
        </w:rPr>
        <w:t xml:space="preserve">. </w:t>
      </w:r>
      <w:r>
        <w:rPr>
          <w:rtl w:val="true"/>
        </w:rPr>
        <w:t>فليس الغرض استبدال التفسير المعتبر، ولا نقض ما عليه أئمة الإسلام، وإنما تقريب المعنى، وتنظيم العرض، والتنبيه على الأصول التي تمنع من الزيغ في الفهم أو التسرع في الاستنباط</w:t>
      </w:r>
      <w:r>
        <w:rPr/>
        <w:t>.</w:t>
      </w:r>
    </w:p>
    <w:p>
      <w:pPr>
        <w:pStyle w:val="PreformattedText"/>
        <w:bidi w:val="0"/>
        <w:spacing w:before="0" w:after="0"/>
        <w:jc w:val="start"/>
        <w:rPr/>
      </w:pPr>
      <w:r>
        <w:rPr/>
      </w:r>
    </w:p>
    <w:p>
      <w:pPr>
        <w:pStyle w:val="PreformattedText"/>
        <w:bidi w:val="0"/>
        <w:spacing w:before="0" w:after="0"/>
        <w:jc w:val="start"/>
        <w:rPr/>
      </w:pPr>
      <w:r>
        <w:rPr>
          <w:rtl w:val="true"/>
        </w:rPr>
        <w:t>كما يراعي هذا العرض ما قرره أهل العلم في المذاهب الفقهية الأربعة</w:t>
      </w:r>
      <w:r>
        <w:rPr>
          <w:rtl w:val="true"/>
        </w:rPr>
        <w:t xml:space="preserve">: </w:t>
      </w:r>
      <w:r>
        <w:rPr>
          <w:rtl w:val="true"/>
        </w:rPr>
        <w:t>الحنفي والمالكي والشافعي والحنبلي، مع التفريق بين مسائل الاتفاق ومسائل الاجتهاد السائغ، وترك الجزم أو الإنكار في مواضع الخلاف المعتبر إلا ببينة واضحة</w:t>
      </w:r>
      <w:r>
        <w:rPr>
          <w:rtl w:val="true"/>
        </w:rPr>
        <w:t xml:space="preserve">. </w:t>
      </w:r>
      <w:r>
        <w:rPr>
          <w:rtl w:val="true"/>
        </w:rPr>
        <w:t>وآيات الأحكام خاصة لا يجوز تناولها بمنهج لغوي مجرد، بل تُفهم في ضوء النصوص كلها، وما قرره الفقهاء، وما انعقد عليه الإجماع، وما جرى فيه الخلاف المعتبر</w:t>
      </w:r>
      <w:r>
        <w:rPr/>
        <w:t>.</w:t>
      </w:r>
    </w:p>
    <w:p>
      <w:pPr>
        <w:pStyle w:val="PreformattedText"/>
        <w:bidi w:val="0"/>
        <w:spacing w:before="0" w:after="0"/>
        <w:jc w:val="start"/>
        <w:rPr/>
      </w:pPr>
      <w:r>
        <w:rPr/>
      </w:r>
    </w:p>
    <w:p>
      <w:pPr>
        <w:pStyle w:val="PreformattedText"/>
        <w:bidi w:val="0"/>
        <w:spacing w:before="0" w:after="0"/>
        <w:jc w:val="start"/>
        <w:rPr/>
      </w:pPr>
      <w:r>
        <w:rPr>
          <w:rtl w:val="true"/>
        </w:rPr>
        <w:t>وإذا ذُكرت في هذا العمل بعض المعاني اللغوية أو الدلالية، فإنما تُذكر على جهة الإيضاح والخدمة للفهم، لا على جهة معارضة النصوص الثابتة أو أقوال أهل العلم المعتبرين</w:t>
      </w:r>
      <w:r>
        <w:rPr>
          <w:rtl w:val="true"/>
        </w:rPr>
        <w:t xml:space="preserve">. </w:t>
      </w:r>
      <w:r>
        <w:rPr>
          <w:rtl w:val="true"/>
        </w:rPr>
        <w:t>فاللغة خادمة للوحي، وليست حاكمة عليه استقلالًا، كما أن دلالة السياق لا تُستعمل لإبطال سنة ثابتة أو رد تفسير مشهور عليه عامة أهل العلم</w:t>
      </w:r>
      <w:r>
        <w:rPr/>
        <w:t>.</w:t>
      </w:r>
    </w:p>
    <w:p>
      <w:pPr>
        <w:pStyle w:val="PreformattedText"/>
        <w:bidi w:val="0"/>
        <w:spacing w:before="0" w:after="0"/>
        <w:jc w:val="start"/>
        <w:rPr/>
      </w:pPr>
      <w:r>
        <w:rPr/>
      </w:r>
    </w:p>
    <w:p>
      <w:pPr>
        <w:pStyle w:val="PreformattedText"/>
        <w:bidi w:val="0"/>
        <w:spacing w:before="0" w:after="0"/>
        <w:jc w:val="start"/>
        <w:rPr/>
      </w:pPr>
      <w:r>
        <w:rPr>
          <w:rtl w:val="true"/>
        </w:rPr>
        <w:t>مكونات العمل</w:t>
      </w:r>
    </w:p>
    <w:p>
      <w:pPr>
        <w:pStyle w:val="PreformattedText"/>
        <w:bidi w:val="0"/>
        <w:spacing w:before="0" w:after="0"/>
        <w:jc w:val="start"/>
        <w:rPr/>
      </w:pPr>
      <w:r>
        <w:rPr/>
      </w:r>
    </w:p>
    <w:p>
      <w:pPr>
        <w:pStyle w:val="PreformattedText"/>
        <w:bidi w:val="0"/>
        <w:spacing w:before="0" w:after="0"/>
        <w:jc w:val="start"/>
        <w:rPr/>
      </w:pPr>
      <w:r>
        <w:rPr>
          <w:rtl w:val="true"/>
        </w:rPr>
        <w:t>ينقسم هذا العمل إلى ثلاثة أجزاء مترابطة، المقصود منها خدمة تدبر القرآن على وجه منضبط</w:t>
      </w:r>
      <w:r>
        <w:rPr/>
        <w:t>:</w:t>
      </w:r>
    </w:p>
    <w:p>
      <w:pPr>
        <w:pStyle w:val="PreformattedText"/>
        <w:bidi w:val="0"/>
        <w:spacing w:before="0" w:after="0"/>
        <w:jc w:val="start"/>
        <w:rPr/>
      </w:pPr>
      <w:r>
        <w:rPr/>
      </w:r>
    </w:p>
    <w:p>
      <w:pPr>
        <w:pStyle w:val="PreformattedText"/>
        <w:bidi w:val="0"/>
        <w:spacing w:before="0" w:after="0"/>
        <w:jc w:val="start"/>
        <w:rPr/>
      </w:pPr>
      <w:r>
        <w:rPr>
          <w:rtl w:val="true"/>
        </w:rPr>
        <w:t>الجزء الأول</w:t>
      </w:r>
      <w:r>
        <w:rPr>
          <w:rtl w:val="true"/>
        </w:rPr>
        <w:t xml:space="preserve">: </w:t>
      </w:r>
      <w:r>
        <w:rPr>
          <w:rtl w:val="true"/>
        </w:rPr>
        <w:t>يشتمل على قواعد أساسية تعين على الفهم الصحيح، وتؤكد أصول التفسير المعتبرة، مثل تفسير القرآن بالقرآن، والرجوع إلى السنة الصحيحة، وفهم السلف، ومراعاة السياق وأسباب النزول، ورد المتشابه إلى المحكم، والنظر في آيات الأحكام على ضوء الفقه المعتبر</w:t>
      </w:r>
      <w:r>
        <w:rPr/>
        <w:t>.</w:t>
      </w:r>
    </w:p>
    <w:p>
      <w:pPr>
        <w:pStyle w:val="PreformattedText"/>
        <w:bidi w:val="0"/>
        <w:spacing w:before="0" w:after="0"/>
        <w:jc w:val="start"/>
        <w:rPr/>
      </w:pPr>
      <w:r>
        <w:rPr/>
      </w:r>
    </w:p>
    <w:p>
      <w:pPr>
        <w:pStyle w:val="PreformattedText"/>
        <w:bidi w:val="0"/>
        <w:spacing w:before="0" w:after="0"/>
        <w:jc w:val="start"/>
        <w:rPr/>
      </w:pPr>
      <w:r>
        <w:rPr>
          <w:rtl w:val="true"/>
        </w:rPr>
        <w:t>الجزء الثاني</w:t>
      </w:r>
      <w:r>
        <w:rPr>
          <w:rtl w:val="true"/>
        </w:rPr>
        <w:t xml:space="preserve">: </w:t>
      </w:r>
      <w:r>
        <w:rPr>
          <w:rtl w:val="true"/>
        </w:rPr>
        <w:t>يتناول طائفة من الألفاظ والمصطلحات القرآنية المهمة، مع بيان معانيها في ضوء الاستعمال القرآني ولسان العرب وما قرره المفسرون، من غير تكلف ولا ادعاء لمعانٍ مبتدعة، ومن غير بناء أحكام عقدية أو فقهية على فروق لفظية مجردة</w:t>
      </w:r>
      <w:r>
        <w:rPr/>
        <w:t>.</w:t>
      </w:r>
    </w:p>
    <w:p>
      <w:pPr>
        <w:pStyle w:val="PreformattedText"/>
        <w:bidi w:val="0"/>
        <w:spacing w:before="0" w:after="0"/>
        <w:jc w:val="start"/>
        <w:rPr/>
      </w:pPr>
      <w:r>
        <w:rPr/>
      </w:r>
    </w:p>
    <w:p>
      <w:pPr>
        <w:pStyle w:val="PreformattedText"/>
        <w:bidi w:val="0"/>
        <w:spacing w:before="0" w:after="0"/>
        <w:jc w:val="start"/>
        <w:rPr/>
      </w:pPr>
      <w:r>
        <w:rPr>
          <w:rtl w:val="true"/>
        </w:rPr>
        <w:t>الجزء الثالث</w:t>
      </w:r>
      <w:r>
        <w:rPr>
          <w:rtl w:val="true"/>
        </w:rPr>
        <w:t xml:space="preserve">: </w:t>
      </w:r>
      <w:r>
        <w:rPr>
          <w:rtl w:val="true"/>
        </w:rPr>
        <w:t>يقصد إلى تقريب بعض المعاني والتراكيب بعبارة أوضح للقارئ المعاصر، مع المحافظة على أصل المعنى، واحترام النص القرآني، وعدم دعوى الإحاطة أو الاستقلال عن كتب التفسير، بل على جهة الشرح المساعد والتقريب النافع</w:t>
      </w:r>
      <w:r>
        <w:rPr/>
        <w:t>.</w:t>
      </w:r>
    </w:p>
    <w:p>
      <w:pPr>
        <w:pStyle w:val="PreformattedText"/>
        <w:bidi w:val="0"/>
        <w:spacing w:before="0" w:after="0"/>
        <w:jc w:val="start"/>
        <w:rPr/>
      </w:pPr>
      <w:r>
        <w:rPr/>
      </w:r>
    </w:p>
    <w:p>
      <w:pPr>
        <w:pStyle w:val="PreformattedText"/>
        <w:bidi w:val="0"/>
        <w:spacing w:before="0" w:after="0"/>
        <w:jc w:val="start"/>
        <w:rPr/>
      </w:pPr>
      <w:r>
        <w:rPr>
          <w:rtl w:val="true"/>
        </w:rPr>
        <w:t>وعليه فغاية هذا العمل أن يكون مدخلًا نافعًا ووسيلة مساعدة على التدبر المنضبط، يزداد بها القارئ تعظيمًا للقرآن، وحسنًا في الفهم، وأدبًا مع النصوص، وورعًا عن القول على الله بغير علم</w:t>
      </w:r>
      <w:r>
        <w:rPr>
          <w:rtl w:val="true"/>
        </w:rPr>
        <w:t xml:space="preserve">. </w:t>
      </w:r>
      <w:r>
        <w:rPr>
          <w:rtl w:val="true"/>
        </w:rPr>
        <w:t>فما وافق الحق والصواب فمن فضل الله وتوفيقه، وما كان فيه من خطأ أو قصور فمردّه إلى تقصير البشر، والله أعلم، وهو سبحانه المسؤول أن يجعل هذا العمل خالصًا لوجهه الكريم، نافعًا لعباده، موافقًا للحق والهدى</w:t>
      </w:r>
      <w:r>
        <w:rPr/>
        <w:t>.</w:t>
      </w:r>
    </w:p>
    <w:p>
      <w:pPr>
        <w:pStyle w:val="PreformattedText"/>
        <w:bidi w:val="0"/>
        <w:spacing w:before="0" w:after="0"/>
        <w:jc w:val="start"/>
        <w:rPr/>
      </w:pPr>
      <w:r>
        <w:rPr/>
      </w:r>
    </w:p>
    <w:p>
      <w:pPr>
        <w:pStyle w:val="PreformattedText"/>
        <w:bidi w:val="0"/>
        <w:spacing w:before="0" w:after="0"/>
        <w:jc w:val="start"/>
        <w:rPr/>
      </w:pPr>
      <w:r>
        <w:rPr/>
        <w:t xml:space="preserve">1- </w:t>
      </w:r>
      <w:r>
        <w:rPr>
          <w:rtl w:val="true"/>
        </w:rPr>
        <w:t>المبادئ الأساسية لتدبر القرآن وفق منهجية علمية دقيقة</w:t>
      </w:r>
    </w:p>
    <w:p>
      <w:pPr>
        <w:pStyle w:val="PreformattedText"/>
        <w:bidi w:val="0"/>
        <w:spacing w:before="0" w:after="0"/>
        <w:jc w:val="start"/>
        <w:rPr/>
      </w:pPr>
      <w:r>
        <w:rPr/>
      </w:r>
    </w:p>
    <w:p>
      <w:pPr>
        <w:pStyle w:val="PreformattedText"/>
        <w:bidi w:val="0"/>
        <w:spacing w:before="0" w:after="0"/>
        <w:jc w:val="start"/>
        <w:rPr/>
      </w:pPr>
      <w:r>
        <w:rPr>
          <w:rtl w:val="true"/>
        </w:rPr>
        <w:t>يشكل هذا القسم الركيزة المنهجية الأساسية التي يقوم عليها البناء العلمي للتطبيق، حيث يقدم إطارًا معرفيًا متكاملاً يبيّن طبيعة القواعد الإلهية التي أرساها القرآن لضبط عملية التدبر</w:t>
      </w:r>
      <w:r>
        <w:rPr>
          <w:rtl w:val="true"/>
        </w:rPr>
        <w:t xml:space="preserve">. </w:t>
      </w:r>
      <w:r>
        <w:rPr>
          <w:rtl w:val="true"/>
        </w:rPr>
        <w:t>ويؤكد أن هذه القواعد ليست إضافات خارجية أو استنباطات بشرية، بل هي قواعد قرآنية تستند إلى آيات إرشادية واضحة</w:t>
      </w:r>
      <w:r>
        <w:rPr>
          <w:rtl w:val="true"/>
        </w:rPr>
        <w:t xml:space="preserve">. </w:t>
      </w:r>
      <w:r>
        <w:rPr>
          <w:rtl w:val="true"/>
        </w:rPr>
        <w:t>كما يوضح هذا الجزء كيف تتكامل هذه القواعد لتشكّل منظومة منهجية تنظم سيرورة العقل أثناء التفاعل مع النص القرآني، ما يحفظ انسجام الفهم مع المعنى المقصود من قِبل الله تعالى دون انحراف أو تأثير فكري غير ملائم</w:t>
      </w:r>
      <w:r>
        <w:rPr/>
        <w:t>.</w:t>
      </w:r>
    </w:p>
    <w:p>
      <w:pPr>
        <w:pStyle w:val="PreformattedText"/>
        <w:bidi w:val="0"/>
        <w:spacing w:before="0" w:after="0"/>
        <w:jc w:val="start"/>
        <w:rPr/>
      </w:pPr>
      <w:r>
        <w:rPr/>
      </w:r>
    </w:p>
    <w:p>
      <w:pPr>
        <w:pStyle w:val="PreformattedText"/>
        <w:bidi w:val="0"/>
        <w:spacing w:before="0" w:after="0"/>
        <w:jc w:val="start"/>
        <w:rPr/>
      </w:pPr>
      <w:r>
        <w:rPr>
          <w:rtl w:val="true"/>
        </w:rPr>
        <w:t>ولا يقتصر هذا القسم على العرض النظري لهذه القواعد فحسب، بل يتعداه إلى تقديم تطبيق عملي موسّع من خلال تحليل نقدي لعدد من الأخطاء التفسيرية والفقهية المنتشرة عبر العصور نتيجة إغفال هذه القواعد أو تجاوزها</w:t>
      </w:r>
      <w:r>
        <w:rPr>
          <w:rtl w:val="true"/>
        </w:rPr>
        <w:t xml:space="preserve">. </w:t>
      </w:r>
      <w:r>
        <w:rPr>
          <w:rtl w:val="true"/>
        </w:rPr>
        <w:t>إن إعادة النظر في مثل هذه التفسيرات والأحكام الفقهية لا تهدف إلى النقد المجرد أو تقويم التراث فحسب، بل تسعى في الوقت ذاته إلى إبراز أهمية تلك القواعد وبيان أثرها الحاسم في الوصول إلى فهم صحيح للنص القرآني، وكشف كيف أن غياب المنهج اللغوي والدلالي المتكامل يؤدي في بعض الحالات إلى تحريف التفسير أو تحميل الآيات معانٍ غير مقصودة</w:t>
      </w:r>
      <w:r>
        <w:rPr>
          <w:rtl w:val="true"/>
        </w:rPr>
        <w:t xml:space="preserve">. </w:t>
      </w:r>
      <w:r>
        <w:rPr>
          <w:rtl w:val="true"/>
        </w:rPr>
        <w:t>وهذا يُبرز ضرورة العودة إلى المنهج القرآني ذاته كمرجعية أساسية تضبط عملية التدبر وتوجهها</w:t>
      </w:r>
      <w:r>
        <w:rPr/>
        <w:t>.</w:t>
      </w:r>
    </w:p>
    <w:p>
      <w:pPr>
        <w:pStyle w:val="PreformattedText"/>
        <w:bidi w:val="0"/>
        <w:spacing w:before="0" w:after="0"/>
        <w:jc w:val="start"/>
        <w:rPr/>
      </w:pPr>
      <w:r>
        <w:rPr/>
      </w:r>
    </w:p>
    <w:p>
      <w:pPr>
        <w:pStyle w:val="PreformattedText"/>
        <w:bidi w:val="0"/>
        <w:spacing w:before="0" w:after="0"/>
        <w:jc w:val="start"/>
        <w:rPr/>
      </w:pPr>
      <w:r>
        <w:rPr>
          <w:rtl w:val="true"/>
        </w:rPr>
        <w:t>وبناءً على هذا الطرح الشامل، يصبح هذا الجزء حجر الزاوية في المشروع العلمي للكتاب، إذ يوفر للقارئ الأدوات الضرورية التي تمكّنه من تدبر القرآن بطريقة علمية تخضع لقواعد إلهية مضبوطة، مما يسهم في تعزيز وتطوير فهم النص مع المحافظة على مقاصده الشرعية واللغوية بدقة ووضوح</w:t>
      </w:r>
      <w:r>
        <w:rPr/>
        <w:t>.</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 xml:space="preserve">2- </w:t>
      </w:r>
      <w:r>
        <w:rPr>
          <w:rtl w:val="true"/>
        </w:rPr>
        <w:t>دلالات المصطلحات المحورية</w:t>
      </w:r>
    </w:p>
    <w:p>
      <w:pPr>
        <w:pStyle w:val="PreformattedText"/>
        <w:bidi w:val="0"/>
        <w:spacing w:before="0" w:after="0"/>
        <w:jc w:val="start"/>
        <w:rPr/>
      </w:pPr>
      <w:r>
        <w:rPr/>
      </w:r>
    </w:p>
    <w:p>
      <w:pPr>
        <w:pStyle w:val="PreformattedText"/>
        <w:bidi w:val="0"/>
        <w:spacing w:before="0" w:after="0"/>
        <w:jc w:val="start"/>
        <w:rPr/>
      </w:pPr>
      <w:r>
        <w:rPr>
          <w:rtl w:val="true"/>
        </w:rPr>
        <w:t>يتناول هذا الجزء دراسة معمقة لبنية المصطلحات المحورية في القرآن، مع التركيز على الدور الجوهري الذي تلعبه هذه المصطلحات في تشكيل الإطار المفهومي للنص القرآني</w:t>
      </w:r>
      <w:r>
        <w:rPr>
          <w:rtl w:val="true"/>
        </w:rPr>
        <w:t xml:space="preserve">. </w:t>
      </w:r>
      <w:r>
        <w:rPr>
          <w:rtl w:val="true"/>
        </w:rPr>
        <w:t>ويأخذ القارئ في رحلة بحثية دقيقة داخل عالم هذه المصطلحات التي تمثل مفاتيح أساسية لفهم رسالة القرآن، من خلال تحليل مستفيض للمعاني اللغوية والدلالية والسياقية المرتبطة بها، والتي تشكل بدورها أسساً جوهرية في علوم القرآن وتفسيره</w:t>
      </w:r>
      <w:r>
        <w:rPr/>
        <w:t>.</w:t>
      </w:r>
    </w:p>
    <w:p>
      <w:pPr>
        <w:pStyle w:val="PreformattedText"/>
        <w:bidi w:val="0"/>
        <w:spacing w:before="0" w:after="0"/>
        <w:jc w:val="start"/>
        <w:rPr/>
      </w:pPr>
      <w:r>
        <w:rPr/>
      </w:r>
    </w:p>
    <w:p>
      <w:pPr>
        <w:pStyle w:val="PreformattedText"/>
        <w:bidi w:val="0"/>
        <w:spacing w:before="0" w:after="0"/>
        <w:jc w:val="start"/>
        <w:rPr/>
      </w:pPr>
      <w:r>
        <w:rPr>
          <w:rtl w:val="true"/>
        </w:rPr>
        <w:t>يمتاز هذا الجزء بتجاوزه للتحليل اللغوي التقليدي الذي يقتصر غالباً على توضيح المعنى المعجمي أو الاشتقاقي، إذ يقدم دراسة شاملة للأبعاد السياقية التي تتبناها المصطلحات ضمن البنية القرآنية</w:t>
      </w:r>
      <w:r>
        <w:rPr>
          <w:rtl w:val="true"/>
        </w:rPr>
        <w:t xml:space="preserve">. </w:t>
      </w:r>
      <w:r>
        <w:rPr>
          <w:rtl w:val="true"/>
        </w:rPr>
        <w:t>فاللغة القرآنية تتميز بنظام داخلي خاص يجعل فهم المصطلحات يتجاوز حدود المعاجم إلى فضاء التفاعل بين السياق والتركيب والغاية المقصودة</w:t>
      </w:r>
      <w:r>
        <w:rPr>
          <w:rtl w:val="true"/>
        </w:rPr>
        <w:t xml:space="preserve">. </w:t>
      </w:r>
      <w:r>
        <w:rPr>
          <w:rtl w:val="true"/>
        </w:rPr>
        <w:t>ومن ثم، يقوم البحث بتحليل المصطلح ضمن الإطار العام للسياق القرآني والنظام الخطابي الذي تحكمه القواعد الإلهية المبيّنة في الجزء الأول، مما يوفر رؤية أكثر شمولية ودقة لإدراك المعنى أو الدلالة</w:t>
      </w:r>
      <w:r>
        <w:rPr>
          <w:rtl w:val="true"/>
        </w:rPr>
        <w:t xml:space="preserve">. </w:t>
      </w:r>
      <w:r>
        <w:rPr>
          <w:rtl w:val="true"/>
        </w:rPr>
        <w:t>وعليه، يُعرض تحليل معمق لبعض هذه الدلالات بهدف تمييز الدلالة الأصلية المراد بها في النص القرآني عن الدلالات أو المعاني التي قد تتأثر بالسياقات اللغوية أو بالأفكار العقائدية المترتبة عليها؛ وذلك ليس بغرض ابتكار معانٍ جديدة، بل بإعادة بناء الدلالة بما يتوافق مع الطريقة المحكمة لتراكيب الآيات ويلبي احتياجات القارئ المعاصر، شرط ألا يؤدي ذلك إلى طمس جوهر النص أو إخضاعه لتأويلات خارجية غير مبررة</w:t>
      </w:r>
      <w:r>
        <w:rPr/>
        <w:t>.</w:t>
      </w:r>
    </w:p>
    <w:p>
      <w:pPr>
        <w:pStyle w:val="PreformattedText"/>
        <w:bidi w:val="0"/>
        <w:spacing w:before="0" w:after="0"/>
        <w:jc w:val="start"/>
        <w:rPr/>
      </w:pPr>
      <w:r>
        <w:rPr/>
      </w:r>
    </w:p>
    <w:p>
      <w:pPr>
        <w:pStyle w:val="PreformattedText"/>
        <w:bidi w:val="0"/>
        <w:spacing w:before="0" w:after="0"/>
        <w:jc w:val="start"/>
        <w:rPr/>
      </w:pPr>
      <w:r>
        <w:rPr>
          <w:rtl w:val="true"/>
        </w:rPr>
        <w:t>من خلال هذا المنهج المتكامل، يقدم هذا الجزء إطاراً عملياً لتعميق تدبر القرآن عبر المفردات المركزية التي تشكل مفاتيح لفهم مضامينه، ما يمكّن القارئ من استيعاب الرسالة القرآنية بأبعادها الدينية والتاريخية والمستقبلية</w:t>
      </w:r>
      <w:r>
        <w:rPr>
          <w:rtl w:val="true"/>
        </w:rPr>
        <w:t xml:space="preserve">. </w:t>
      </w:r>
      <w:r>
        <w:rPr>
          <w:rtl w:val="true"/>
        </w:rPr>
        <w:t>ويتضح بذلك أن هذا الجزء يشكل بدوره ركيزة أساسية ضمن القواعد الإلهية التي نوقشت في الجزء الأول، حيث تتداخل القواعد الدلالية مع المناهج التفسيرية لتقديم رؤية متكاملة للفهم القرآني</w:t>
      </w:r>
      <w:r>
        <w:rPr/>
        <w:t>.</w:t>
      </w:r>
    </w:p>
    <w:p>
      <w:pPr>
        <w:pStyle w:val="PreformattedText"/>
        <w:bidi w:val="0"/>
        <w:spacing w:before="0" w:after="0"/>
        <w:jc w:val="start"/>
        <w:rPr/>
      </w:pPr>
      <w:r>
        <w:rPr/>
      </w:r>
    </w:p>
    <w:p>
      <w:pPr>
        <w:pStyle w:val="PreformattedText"/>
        <w:bidi w:val="0"/>
        <w:spacing w:before="0" w:after="0"/>
        <w:jc w:val="start"/>
        <w:rPr/>
      </w:pPr>
      <w:r>
        <w:rPr/>
        <w:t xml:space="preserve">3- </w:t>
      </w:r>
      <w:r>
        <w:rPr>
          <w:rtl w:val="true"/>
        </w:rPr>
        <w:t>تيسير آيات الكتاب الحكيم بلسان العرب المعاصر</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tl w:val="true"/>
        </w:rPr>
        <w:t>يمثل هذا الجزء الختامي من الدراسة خلاصة تراكم معرفي ولغوي ناتج عن مسيرة بحثية استمرت لأكثر من ثلاثة عقود، تناولت تحليل بنية النص القرآني ورصد تطور التعبير اللغوي ووسائل تلقيه عبر الأجيال</w:t>
      </w:r>
      <w:r>
        <w:rPr>
          <w:rtl w:val="true"/>
        </w:rPr>
        <w:t xml:space="preserve">. </w:t>
      </w:r>
      <w:r>
        <w:rPr>
          <w:rtl w:val="true"/>
        </w:rPr>
        <w:t>إذ يُسلط الضوء على التحدي المعرفي القائم بين خطاب الله تعالى وخطاب العرب، مؤكدًا أن عملية التيسير لا تعني ترجمة النص أو تبديل مضمونه، بل تمثل تحويلًا منهجيًا للخطاب من لسان عربي مبين ومحكم إلى لسان العرب المعاصر، اعتمادًا على منهجية تكشف البنية العميقة للتراكيب القرآنية وتقدم شروحات لغوية دقيقة وبسيطة تساعد القارئ المعاصر على إدراك المعاني الأصلية للمصطلحات القرآنية التي قد تغيبها التفسيرات السطحية المتأثرة بالألسنة والعقائد البشرية</w:t>
      </w:r>
      <w:r>
        <w:rPr>
          <w:rtl w:val="true"/>
        </w:rPr>
        <w:t xml:space="preserve">. </w:t>
      </w:r>
      <w:r>
        <w:rPr>
          <w:rtl w:val="true"/>
        </w:rPr>
        <w:t>كما تهدف هذه الشروحات إلى تحفيز الباحثين والطلاب على استكشاف المستجدات اللسانية والدلالية والتدبر العلمي لها إما لتأكيدها أو نقدها بأسلوب علمي</w:t>
      </w:r>
      <w:r>
        <w:rPr/>
        <w:t>.</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tl w:val="true"/>
        </w:rPr>
        <w:t>وبذلك يشكل هذا الجزء إضافة نوعية إلى حقل الدراسات القرآنية، إذ يجمع بين دقة اللسان العربي والمنهجية العلمية والرؤية التفسيرية المحدثة، مقدمًا أداة عملية تسهم في تعزيز الفهم القرآني لدى مختلف مستويات القراء، مع المحافظة على الأصالة البلاغية والبنية اللغوية للنص المقدس</w:t>
      </w:r>
      <w:r>
        <w:rPr/>
        <w:t>.</w:t>
      </w:r>
    </w:p>
    <w:p>
      <w:pPr>
        <w:pStyle w:val="PreformattedText"/>
        <w:bidi w:val="0"/>
        <w:spacing w:before="0" w:after="0"/>
        <w:jc w:val="start"/>
        <w:rPr/>
      </w:pPr>
      <w:r>
        <w:rPr/>
      </w:r>
    </w:p>
    <w:p>
      <w:pPr>
        <w:pStyle w:val="PreformattedText"/>
        <w:bidi w:val="0"/>
        <w:spacing w:before="0" w:after="0"/>
        <w:jc w:val="start"/>
        <w:rPr/>
      </w:pPr>
      <w:r>
        <w:rPr>
          <w:rtl w:val="true"/>
        </w:rPr>
        <w:t>والله هو المعين الأسمى والموفق الأعلى</w:t>
      </w:r>
      <w:r>
        <w:rPr/>
        <w:t>.</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