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3E112" w14:textId="77777777" w:rsidR="004B5529" w:rsidRPr="00E31114" w:rsidRDefault="00E31114" w:rsidP="00E31114">
      <w:pPr>
        <w:jc w:val="center"/>
        <w:rPr>
          <w:rFonts w:ascii="Arial" w:hAnsi="Arial" w:cs="Arial"/>
          <w:b/>
          <w:bCs/>
          <w:i w:val="0"/>
          <w:iCs w:val="0"/>
          <w:sz w:val="32"/>
          <w:szCs w:val="32"/>
        </w:rPr>
      </w:pPr>
      <w:r w:rsidRPr="00E31114">
        <w:rPr>
          <w:rFonts w:ascii="Arial" w:hAnsi="Arial" w:cs="Arial"/>
          <w:b/>
          <w:bCs/>
          <w:i w:val="0"/>
          <w:iCs w:val="0"/>
          <w:sz w:val="32"/>
          <w:szCs w:val="32"/>
        </w:rPr>
        <w:t>Plan de modèle prédictif — Délinquance Geldium</w:t>
      </w:r>
    </w:p>
    <w:p w14:paraId="144E44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Ce plan décrit l'approche de modélisation proposée pour prévoir quels clients de Geldium présentent le plus grand risque de défaut de paiement. Il s'appuie sur les enseignements de l'analyse exploratoire (partie 1) et sur des outils GenAI utilisés pour structurer la logique du modèle, sa justification et son évaluation.</w:t>
      </w:r>
    </w:p>
    <w:p w14:paraId="19A14894"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1. Logique du modèle (générée avec la GenAI)</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Le modèle estime, pour chaque client, la probabilité qu'il devienne délinquant. Cette probabilité est convertie en bande de risque (Faible / Moyen / Élevé) qui déclenche une action d'intervention graduée. La logique ci-dessous a été générée avec la GenAI à partir des prompts suivants, puis ajustée selon les résultats de l'EDA :</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Esquisse un pipeline de modélisation prédictive pour prévoir les retards de crédit, de la sélection des variables à l'évaluation. »</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Propose deux options de modélisation (simple et complexe) pour prédire la délinquance, et recommandes-en une. »</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Explique comment le modèle transforme les variables d'un client en une prédiction finale du risque. »</w:t>
      </w:r>
    </w:p>
    <w:p w14:paraId="5B6A105C"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Génère un pseudocode pour un modèle de risque de crédit utilisant le revenu, l'utilisation du crédit et les paiements manqués. »</w:t>
      </w:r>
    </w:p>
    <w:p w14:paraId="0F0274EA" w14:textId="77777777"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Deux options de modélisation comparées :</w:t>
      </w:r>
    </w:p>
    <w:tbl>
      <w:tblPr>
        <w:tblStyle w:val="TableGrid"/>
        <w:tblW w:type="auto" w:w="0"/>
        <w:tblLook w:firstColumn="1" w:firstRow="1" w:lastColumn="0" w:lastRow="0" w:noHBand="0" w:noVBand="1" w:val="04A0"/>
      </w:tblPr>
      <w:tblGrid>
        <w:gridCol w:w="2880"/>
        <w:gridCol w:w="2880"/>
        <w:gridCol w:w="2880"/>
      </w:tblGrid>
      <w:tr>
        <w:tc>
          <w:tcPr>
            <w:tcW w:type="dxa" w:w="1814"/>
            <w:shd w:val="clear" w:color="auto" w:fill="DCE6F2"/>
          </w:tcPr>
          <w:p>
            <w:r>
              <w:rPr>
                <w:rFonts w:ascii="Arial" w:hAnsi="Arial"/>
                <w:i w:val="0"/>
                <w:sz w:val="18"/>
              </w:rPr>
            </w:r>
          </w:p>
        </w:tc>
        <w:tc>
          <w:tcPr>
            <w:tcW w:type="dxa" w:w="3685"/>
            <w:shd w:val="clear" w:color="auto" w:fill="DCE6F2"/>
          </w:tcPr>
          <w:p>
            <w:r>
              <w:rPr>
                <w:rFonts w:ascii="Arial" w:hAnsi="Arial"/>
                <w:b/>
                <w:i w:val="0"/>
                <w:sz w:val="18"/>
              </w:rPr>
              <w:t>Option simple : régression logistique</w:t>
            </w:r>
          </w:p>
        </w:tc>
        <w:tc>
          <w:tcPr>
            <w:tcW w:type="dxa" w:w="3855"/>
            <w:shd w:val="clear" w:color="auto" w:fill="DCE6F2"/>
          </w:tcPr>
          <w:p>
            <w:r>
              <w:rPr>
                <w:rFonts w:ascii="Arial" w:hAnsi="Arial"/>
                <w:b/>
                <w:i w:val="0"/>
                <w:sz w:val="18"/>
              </w:rPr>
              <w:t>Option complexe : gradient boosting (XGBoost / LightGBM)</w:t>
            </w:r>
          </w:p>
        </w:tc>
      </w:tr>
      <w:tr>
        <w:tc>
          <w:tcPr>
            <w:tcW w:type="dxa" w:w="1814"/>
          </w:tcPr>
          <w:p>
            <w:r>
              <w:rPr>
                <w:rFonts w:ascii="Arial" w:hAnsi="Arial"/>
                <w:i w:val="0"/>
                <w:sz w:val="18"/>
              </w:rPr>
              <w:t>Principe</w:t>
            </w:r>
          </w:p>
        </w:tc>
        <w:tc>
          <w:tcPr>
            <w:tcW w:type="dxa" w:w="3685"/>
          </w:tcPr>
          <w:p>
            <w:r>
              <w:rPr>
                <w:rFonts w:ascii="Arial" w:hAnsi="Arial"/>
                <w:i w:val="0"/>
                <w:sz w:val="18"/>
              </w:rPr>
              <w:t>Combinaison linéaire pondérée des variables, transformée en probabilité (sigmoïde)</w:t>
            </w:r>
          </w:p>
        </w:tc>
        <w:tc>
          <w:tcPr>
            <w:tcW w:type="dxa" w:w="3855"/>
          </w:tcPr>
          <w:p>
            <w:r>
              <w:rPr>
                <w:rFonts w:ascii="Arial" w:hAnsi="Arial"/>
                <w:i w:val="0"/>
                <w:sz w:val="18"/>
              </w:rPr>
              <w:t>Centaines d'arbres de décision construits séquentiellement, chacun corrigeant les erreurs du précédent</w:t>
            </w:r>
          </w:p>
        </w:tc>
      </w:tr>
      <w:tr>
        <w:tc>
          <w:tcPr>
            <w:tcW w:type="dxa" w:w="1814"/>
          </w:tcPr>
          <w:p>
            <w:r>
              <w:rPr>
                <w:rFonts w:ascii="Arial" w:hAnsi="Arial"/>
                <w:i w:val="0"/>
                <w:sz w:val="18"/>
              </w:rPr>
              <w:t>Interprétabilité</w:t>
            </w:r>
          </w:p>
        </w:tc>
        <w:tc>
          <w:tcPr>
            <w:tcW w:type="dxa" w:w="3685"/>
          </w:tcPr>
          <w:p>
            <w:r>
              <w:rPr>
                <w:rFonts w:ascii="Arial" w:hAnsi="Arial"/>
                <w:i w:val="0"/>
                <w:sz w:val="18"/>
              </w:rPr>
              <w:t>Élevée : chaque coefficient se lit comme un effet sur le risque</w:t>
            </w:r>
          </w:p>
        </w:tc>
        <w:tc>
          <w:tcPr>
            <w:tcW w:type="dxa" w:w="3855"/>
          </w:tcPr>
          <w:p>
            <w:r>
              <w:rPr>
                <w:rFonts w:ascii="Arial" w:hAnsi="Arial"/>
                <w:i w:val="0"/>
                <w:sz w:val="18"/>
              </w:rPr>
              <w:t>Faible en natif, nécessite SHAP</w:t>
            </w:r>
          </w:p>
        </w:tc>
      </w:tr>
      <w:tr>
        <w:tc>
          <w:tcPr>
            <w:tcW w:type="dxa" w:w="1814"/>
          </w:tcPr>
          <w:p>
            <w:r>
              <w:rPr>
                <w:rFonts w:ascii="Arial" w:hAnsi="Arial"/>
                <w:i w:val="0"/>
                <w:sz w:val="18"/>
              </w:rPr>
              <w:t>Non-linéarités</w:t>
            </w:r>
          </w:p>
        </w:tc>
        <w:tc>
          <w:tcPr>
            <w:tcW w:type="dxa" w:w="3685"/>
          </w:tcPr>
          <w:p>
            <w:r>
              <w:rPr>
                <w:rFonts w:ascii="Arial" w:hAnsi="Arial"/>
                <w:i w:val="0"/>
                <w:sz w:val="18"/>
              </w:rPr>
              <w:t>À créer manuellement</w:t>
            </w:r>
          </w:p>
        </w:tc>
        <w:tc>
          <w:tcPr>
            <w:tcW w:type="dxa" w:w="3855"/>
          </w:tcPr>
          <w:p>
            <w:r>
              <w:rPr>
                <w:rFonts w:ascii="Arial" w:hAnsi="Arial"/>
                <w:i w:val="0"/>
                <w:sz w:val="18"/>
              </w:rPr>
              <w:t>Capturées automatiquement</w:t>
            </w:r>
          </w:p>
        </w:tc>
      </w:tr>
      <w:tr>
        <w:tc>
          <w:tcPr>
            <w:tcW w:type="dxa" w:w="1814"/>
          </w:tcPr>
          <w:p>
            <w:r>
              <w:rPr>
                <w:rFonts w:ascii="Arial" w:hAnsi="Arial"/>
                <w:i w:val="0"/>
                <w:sz w:val="18"/>
              </w:rPr>
              <w:t>Données requises</w:t>
            </w:r>
          </w:p>
        </w:tc>
        <w:tc>
          <w:tcPr>
            <w:tcW w:type="dxa" w:w="3685"/>
          </w:tcPr>
          <w:p>
            <w:r>
              <w:rPr>
                <w:rFonts w:ascii="Arial" w:hAnsi="Arial"/>
                <w:i w:val="0"/>
                <w:sz w:val="18"/>
              </w:rPr>
              <w:t>Fonctionne avec 500 lignes</w:t>
            </w:r>
          </w:p>
        </w:tc>
        <w:tc>
          <w:tcPr>
            <w:tcW w:type="dxa" w:w="3855"/>
          </w:tcPr>
          <w:p>
            <w:r>
              <w:rPr>
                <w:rFonts w:ascii="Arial" w:hAnsi="Arial"/>
                <w:i w:val="0"/>
                <w:sz w:val="18"/>
              </w:rPr>
              <w:t>Risque élevé de surapprentissage sur 500 lignes</w:t>
            </w:r>
          </w:p>
        </w:tc>
      </w:tr>
      <w:tr>
        <w:tc>
          <w:tcPr>
            <w:tcW w:type="dxa" w:w="1814"/>
          </w:tcPr>
          <w:p>
            <w:r>
              <w:rPr>
                <w:rFonts w:ascii="Arial" w:hAnsi="Arial"/>
                <w:i w:val="0"/>
                <w:sz w:val="18"/>
              </w:rPr>
              <w:t>Usage dans le secteur</w:t>
            </w:r>
          </w:p>
        </w:tc>
        <w:tc>
          <w:tcPr>
            <w:tcW w:type="dxa" w:w="3685"/>
          </w:tcPr>
          <w:p>
            <w:r>
              <w:rPr>
                <w:rFonts w:ascii="Arial" w:hAnsi="Arial"/>
                <w:i w:val="0"/>
                <w:sz w:val="18"/>
              </w:rPr>
              <w:t>Standard des scorecards de crédit réglementées</w:t>
            </w:r>
          </w:p>
        </w:tc>
        <w:tc>
          <w:tcPr>
            <w:tcW w:type="dxa" w:w="3855"/>
          </w:tcPr>
          <w:p>
            <w:r>
              <w:rPr>
                <w:rFonts w:ascii="Arial" w:hAnsi="Arial"/>
                <w:i w:val="0"/>
                <w:sz w:val="18"/>
              </w:rPr>
              <w:t>Modèle challenger, détection de fraude</w:t>
            </w:r>
          </w:p>
        </w:tc>
      </w:tr>
    </w:tbl>
    <w:p w14:paraId="0F0274EA"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Recommandation : </w:t>
      </w:r>
      <w:r>
        <w:rPr>
          <w:rFonts w:ascii="Arial" w:hAnsi="Arial"/>
          <w:i w:val="0"/>
        </w:rPr>
        <w:t>la régression logistique pondérée comme modèle principal, avec le gradient boosting comme challenger pour vérifier qu'aucune relation non linéaire importante n'est ignorée.</w:t>
      </w:r>
    </w:p>
    <w:p w14:paraId="6C4BE02A" w14:textId="77777777" w:rsidR="004B5529" w:rsidRPr="00E31114" w:rsidRDefault="00E31114">
      <w:pPr>
        <w:pStyle w:val="IntenseQuote"/>
        <w:rPr>
          <w:rFonts w:ascii="Courier New" w:hAnsi="Courier New" w:cs="Courier New"/>
          <w:i w:val="0"/>
          <w:iCs w:val="0"/>
          <w:color w:val="000000" w:themeColor="text1"/>
        </w:rPr>
      </w:pPr>
      <w:r w:rsidRPr="00E31114">
        <w:rPr>
          <w:rFonts w:ascii="Arial" w:hAnsi="Arial" w:cs="Arial"/>
          <w:b/>
          <w:i w:val="0"/>
          <w:iCs w:val="0"/>
          <w:color w:val="000000" w:themeColor="text1"/>
        </w:rPr>
        <w:t>Flux de travail du modèle (sortie GenAI paraphrasée)</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1. Ingestion et validation : contrôle du schéma, des plages (utilisation 0–1,2 ; score 300–850) et de la cohérence âge/ancienneté.</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2. Nettoyage : normalisation d'Employment_Status, imputation médiane + indicateurs de valeur manquante (cf. EDA).</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3. Ingénierie des variables : Missed_6m, Late_6m, Recent_Missed (Month_6), Over_Limit, New_Account (ancienneté = 0).</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4. Prétraitement : standardisation des numériques, encodage one-hot des catégorielles ; Location et Age exclus (équité).</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5. Modèle : régression logistique pondérée (class_weight = « balanced », 16 % de délinquants).</w:t>
      </w:r>
    </w:p>
    <w:p w14:paraId="6C4BE02A" w14:textId="77777777" w:rsidR="004B5529" w:rsidRPr="00E31114" w:rsidRDefault="00E31114">
      <w:pPr>
        <w:ind w:left="283"/>
        <w:rPr>
          <w:rFonts w:ascii="Courier New" w:hAnsi="Courier New" w:cs="Courier New"/>
          <w:i w:val="0"/>
          <w:iCs w:val="0"/>
          <w:color w:val="000000" w:themeColor="text1"/>
        </w:rPr>
      </w:pPr>
      <w:r w:rsidRPr="00E31114">
        <w:rPr>
          <w:rFonts w:ascii="Arial" w:hAnsi="Arial" w:cs="Arial"/>
          <w:i w:val="0"/>
          <w:iCs w:val="0"/>
          <w:color w:val="000000" w:themeColor="text1"/>
        </w:rPr>
        <w:t>6. Sortie : probabilité de défaut → bande de risque par rang (Élevé = top 10 %, Moyen = 10–30 %) → action (aucune / rappel automatique / contact par un conseiller).</w:t>
      </w:r>
    </w:p>
    <w:p w14:paraId="6C4BE02A" w14:textId="77777777" w:rsidR="004B5529" w:rsidRPr="00E31114" w:rsidRDefault="00E31114">
      <w:pPr>
        <w:ind w:left="0"/>
        <w:rPr>
          <w:rFonts w:ascii="Courier New" w:hAnsi="Courier New" w:cs="Courier New"/>
          <w:i w:val="0"/>
          <w:iCs w:val="0"/>
          <w:color w:val="000000" w:themeColor="text1"/>
        </w:rPr>
      </w:pPr>
      <w:r w:rsidRPr="00E31114">
        <w:rPr>
          <w:rFonts w:ascii="Arial" w:hAnsi="Arial" w:cs="Arial"/>
          <w:b/>
          <w:i w:val="0"/>
          <w:iCs w:val="0"/>
          <w:color w:val="000000" w:themeColor="text1"/>
        </w:rPr>
        <w:t>Pseudocode :</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CHARGER données clients ; VALIDER schéma et plages</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NETTOYER : normaliser Employment_Status ; imputer Income, Loan_Balance, Credit_Score</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CRÉER : Missed_6m, Late_6m, Recent_Missed, Over_Limit, New_Account</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X ← historique de paiement, Credit_Utilization, Debt_to_Income_Ratio, Credit_Score, Employment_Status, ...</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y ← Delinquent_Account</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DIVISER entraînement 80 % / test 20 % (stratifié sur y)</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PIPELINE ← Standardisation + OneHot + RégressionLogistique(poids équilibrés)</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ENTRAÎNER avec validation croisée 5 plis ; CALIBRER les probabilités</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POUR chaque client :</w:t>
      </w:r>
    </w:p>
    <w:p w14:paraId="6C4BE02A" w14:textId="77777777" w:rsidR="004B5529" w:rsidRPr="00E31114" w:rsidRDefault="00E31114">
      <w:pPr>
        <w:spacing w:after="0"/>
        <w:ind w:left="567"/>
        <w:rPr>
          <w:rFonts w:ascii="Courier New" w:hAnsi="Courier New" w:cs="Courier New"/>
          <w:i w:val="0"/>
          <w:iCs w:val="0"/>
          <w:color w:val="000000" w:themeColor="text1"/>
        </w:rPr>
      </w:pPr>
      <w:r w:rsidRPr="00E31114">
        <w:rPr>
          <w:rFonts w:ascii="Consolas" w:hAnsi="Consolas" w:cs="Arial"/>
          <w:i w:val="0"/>
          <w:iCs w:val="0"/>
          <w:color w:val="000000" w:themeColor="text1"/>
          <w:sz w:val="17"/>
        </w:rPr>
        <w:t>p ← probabilité de défaut</w:t>
      </w:r>
    </w:p>
    <w:p w14:paraId="6C4BE02A" w14:textId="77777777" w:rsidR="004B5529" w:rsidRPr="00E31114" w:rsidRDefault="00E31114">
      <w:pPr>
        <w:spacing w:after="0"/>
        <w:ind w:left="567"/>
        <w:rPr>
          <w:rFonts w:ascii="Courier New" w:hAnsi="Courier New" w:cs="Courier New"/>
          <w:i w:val="0"/>
          <w:iCs w:val="0"/>
          <w:color w:val="000000" w:themeColor="text1"/>
        </w:rPr>
      </w:pPr>
      <w:r w:rsidRPr="00E31114">
        <w:rPr>
          <w:rFonts w:ascii="Consolas" w:hAnsi="Consolas" w:cs="Arial"/>
          <w:i w:val="0"/>
          <w:iCs w:val="0"/>
          <w:color w:val="000000" w:themeColor="text1"/>
          <w:sz w:val="17"/>
        </w:rPr>
        <w:t>bande ← Élevé (top 10 %) | Moyen (10–30 %) | Faible</w:t>
      </w:r>
    </w:p>
    <w:p w14:paraId="6C4BE02A" w14:textId="77777777" w:rsidR="004B5529" w:rsidRPr="00E31114" w:rsidRDefault="00E31114">
      <w:pPr>
        <w:spacing w:after="0"/>
        <w:ind w:left="567"/>
        <w:rPr>
          <w:rFonts w:ascii="Courier New" w:hAnsi="Courier New" w:cs="Courier New"/>
          <w:i w:val="0"/>
          <w:iCs w:val="0"/>
          <w:color w:val="000000" w:themeColor="text1"/>
        </w:rPr>
      </w:pPr>
      <w:r w:rsidRPr="00E31114">
        <w:rPr>
          <w:rFonts w:ascii="Consolas" w:hAnsi="Consolas" w:cs="Arial"/>
          <w:i w:val="0"/>
          <w:iCs w:val="0"/>
          <w:color w:val="000000" w:themeColor="text1"/>
          <w:sz w:val="17"/>
        </w:rPr>
        <w:t>EXPLIQUER : 3 variables qui contribuent le plus (coefficient × valeur)</w:t>
      </w:r>
    </w:p>
    <w:p w14:paraId="6C4BE02A" w14:textId="77777777" w:rsidR="004B5529" w:rsidRPr="00E31114" w:rsidRDefault="00E31114">
      <w:pPr>
        <w:spacing w:after="0"/>
        <w:ind w:left="283"/>
        <w:rPr>
          <w:rFonts w:ascii="Courier New" w:hAnsi="Courier New" w:cs="Courier New"/>
          <w:i w:val="0"/>
          <w:iCs w:val="0"/>
          <w:color w:val="000000" w:themeColor="text1"/>
        </w:rPr>
      </w:pPr>
      <w:r w:rsidRPr="00E31114">
        <w:rPr>
          <w:rFonts w:ascii="Consolas" w:hAnsi="Consolas" w:cs="Arial"/>
          <w:i w:val="0"/>
          <w:iCs w:val="0"/>
          <w:color w:val="000000" w:themeColor="text1"/>
          <w:sz w:val="17"/>
        </w:rPr>
        <w:t>RETOURNER p, bande, explication</w:t>
      </w:r>
    </w:p>
    <w:p w14:paraId="6C4BE02A" w14:textId="77777777" w:rsidR="004B5529" w:rsidRPr="00E31114" w:rsidRDefault="00E31114">
      <w:pPr>
        <w:spacing w:after="120" w:before="240"/>
        <w:ind w:left="0"/>
        <w:rPr>
          <w:rFonts w:ascii="Courier New" w:hAnsi="Courier New" w:cs="Courier New"/>
          <w:i w:val="0"/>
          <w:iCs w:val="0"/>
          <w:color w:val="000000" w:themeColor="text1"/>
        </w:rPr>
      </w:pPr>
      <w:r w:rsidRPr="00E31114">
        <w:rPr>
          <w:rFonts w:ascii="Arial" w:hAnsi="Arial" w:cs="Arial"/>
          <w:b/>
          <w:i w:val="0"/>
          <w:iCs w:val="0"/>
          <w:color w:val="000000" w:themeColor="text1"/>
        </w:rPr>
        <w:t>Synthèse du modèle choisi :</w:t>
      </w:r>
    </w:p>
    <w:p w14:paraId="0F0274EA"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Une régression logistique pondérée estime la probabilité de délinquance de chaque client à partir d'une combinaison linéaire de ses caractéristiques financières et de son historique de paiement. Cette probabilité est convertie en bande de risque qui déclenche une intervention graduée, et chaque prédiction s'explique par les coefficients du modèle. Un gradient boosting sert de challenger pour détecter d'éventuelles relations non linéaires.</w:t>
      </w:r>
    </w:p>
    <w:p w14:paraId="0F0274EA" w14:textId="77777777"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Les 5 principales variables d'entrée :</w:t>
      </w:r>
    </w:p>
    <w:tbl>
      <w:tblPr>
        <w:tblStyle w:val="TableGrid"/>
        <w:tblW w:type="auto" w:w="0"/>
        <w:tblLook w:firstColumn="1" w:firstRow="1" w:lastColumn="0" w:lastRow="0" w:noHBand="0" w:noVBand="1" w:val="04A0"/>
      </w:tblPr>
      <w:tblGrid>
        <w:gridCol w:w="2880"/>
        <w:gridCol w:w="2880"/>
        <w:gridCol w:w="2880"/>
      </w:tblGrid>
      <w:tr>
        <w:tc>
          <w:tcPr>
            <w:tcW w:type="dxa" w:w="454"/>
            <w:shd w:val="clear" w:color="auto" w:fill="DCE6F2"/>
          </w:tcPr>
          <w:p>
            <w:r>
              <w:rPr>
                <w:rFonts w:ascii="Arial" w:hAnsi="Arial"/>
                <w:b/>
                <w:i w:val="0"/>
                <w:sz w:val="18"/>
              </w:rPr>
              <w:t>#</w:t>
            </w:r>
          </w:p>
        </w:tc>
        <w:tc>
          <w:tcPr>
            <w:tcW w:type="dxa" w:w="3118"/>
            <w:shd w:val="clear" w:color="auto" w:fill="DCE6F2"/>
          </w:tcPr>
          <w:p>
            <w:r>
              <w:rPr>
                <w:rFonts w:ascii="Arial" w:hAnsi="Arial"/>
                <w:b/>
                <w:i w:val="0"/>
                <w:sz w:val="18"/>
              </w:rPr>
              <w:t>Variable</w:t>
            </w:r>
          </w:p>
        </w:tc>
        <w:tc>
          <w:tcPr>
            <w:tcW w:type="dxa" w:w="5783"/>
            <w:shd w:val="clear" w:color="auto" w:fill="DCE6F2"/>
          </w:tcPr>
          <w:p>
            <w:r>
              <w:rPr>
                <w:rFonts w:ascii="Arial" w:hAnsi="Arial"/>
                <w:b/>
                <w:i w:val="0"/>
                <w:sz w:val="18"/>
              </w:rPr>
              <w:t>Contribution attendue à la prédiction</w:t>
            </w:r>
          </w:p>
        </w:tc>
      </w:tr>
      <w:tr>
        <w:tc>
          <w:tcPr>
            <w:tcW w:type="dxa" w:w="454"/>
          </w:tcPr>
          <w:p>
            <w:r>
              <w:rPr>
                <w:rFonts w:ascii="Arial" w:hAnsi="Arial"/>
                <w:i w:val="0"/>
                <w:sz w:val="18"/>
              </w:rPr>
              <w:t>1</w:t>
            </w:r>
          </w:p>
        </w:tc>
        <w:tc>
          <w:tcPr>
            <w:tcW w:type="dxa" w:w="3118"/>
          </w:tcPr>
          <w:p>
            <w:r>
              <w:rPr>
                <w:rFonts w:ascii="Arial" w:hAnsi="Arial"/>
                <w:i w:val="0"/>
                <w:sz w:val="18"/>
              </w:rPr>
              <w:t>Historique de paiement (Missed_Payments, Missed_6m, Recent_Missed)</w:t>
            </w:r>
          </w:p>
        </w:tc>
        <w:tc>
          <w:tcPr>
            <w:tcW w:type="dxa" w:w="5783"/>
          </w:tcPr>
          <w:p>
            <w:r>
              <w:rPr>
                <w:rFonts w:ascii="Arial" w:hAnsi="Arial"/>
                <w:i w:val="0"/>
                <w:sz w:val="18"/>
              </w:rPr>
              <w:t>Premier prédicteur du risque de crédit : les retards passés et récents annoncent les défauts futurs. À fiabiliser (incohérence relevée dans l'EDA).</w:t>
            </w:r>
          </w:p>
        </w:tc>
      </w:tr>
      <w:tr>
        <w:tc>
          <w:tcPr>
            <w:tcW w:type="dxa" w:w="454"/>
          </w:tcPr>
          <w:p>
            <w:r>
              <w:rPr>
                <w:rFonts w:ascii="Arial" w:hAnsi="Arial"/>
                <w:i w:val="0"/>
                <w:sz w:val="18"/>
              </w:rPr>
              <w:t>2</w:t>
            </w:r>
          </w:p>
        </w:tc>
        <w:tc>
          <w:tcPr>
            <w:tcW w:type="dxa" w:w="3118"/>
          </w:tcPr>
          <w:p>
            <w:r>
              <w:rPr>
                <w:rFonts w:ascii="Arial" w:hAnsi="Arial"/>
                <w:i w:val="0"/>
                <w:sz w:val="18"/>
              </w:rPr>
              <w:t>Credit_Utilization (+ Over_Limit)</w:t>
            </w:r>
          </w:p>
        </w:tc>
        <w:tc>
          <w:tcPr>
            <w:tcW w:type="dxa" w:w="5783"/>
          </w:tcPr>
          <w:p>
            <w:r>
              <w:rPr>
                <w:rFonts w:ascii="Arial" w:hAnsi="Arial"/>
                <w:i w:val="0"/>
                <w:sz w:val="18"/>
              </w:rPr>
              <w:t>Une utilisation élevée ou un dépassement de limite signale une tension de trésorerie.</w:t>
            </w:r>
          </w:p>
        </w:tc>
      </w:tr>
      <w:tr>
        <w:tc>
          <w:tcPr>
            <w:tcW w:type="dxa" w:w="454"/>
          </w:tcPr>
          <w:p>
            <w:r>
              <w:rPr>
                <w:rFonts w:ascii="Arial" w:hAnsi="Arial"/>
                <w:i w:val="0"/>
                <w:sz w:val="18"/>
              </w:rPr>
              <w:t>3</w:t>
            </w:r>
          </w:p>
        </w:tc>
        <w:tc>
          <w:tcPr>
            <w:tcW w:type="dxa" w:w="3118"/>
          </w:tcPr>
          <w:p>
            <w:r>
              <w:rPr>
                <w:rFonts w:ascii="Arial" w:hAnsi="Arial"/>
                <w:i w:val="0"/>
                <w:sz w:val="18"/>
              </w:rPr>
              <w:t>Debt_to_Income_Ratio</w:t>
            </w:r>
          </w:p>
        </w:tc>
        <w:tc>
          <w:tcPr>
            <w:tcW w:type="dxa" w:w="5783"/>
          </w:tcPr>
          <w:p>
            <w:r>
              <w:rPr>
                <w:rFonts w:ascii="Arial" w:hAnsi="Arial"/>
                <w:i w:val="0"/>
                <w:sz w:val="18"/>
              </w:rPr>
              <w:t>Mesure la capacité de remboursement : plus le ratio est élevé, moins le client a de marge.</w:t>
            </w:r>
          </w:p>
        </w:tc>
      </w:tr>
      <w:tr>
        <w:tc>
          <w:tcPr>
            <w:tcW w:type="dxa" w:w="454"/>
          </w:tcPr>
          <w:p>
            <w:r>
              <w:rPr>
                <w:rFonts w:ascii="Arial" w:hAnsi="Arial"/>
                <w:i w:val="0"/>
                <w:sz w:val="18"/>
              </w:rPr>
              <w:t>4</w:t>
            </w:r>
          </w:p>
        </w:tc>
        <w:tc>
          <w:tcPr>
            <w:tcW w:type="dxa" w:w="3118"/>
          </w:tcPr>
          <w:p>
            <w:r>
              <w:rPr>
                <w:rFonts w:ascii="Arial" w:hAnsi="Arial"/>
                <w:i w:val="0"/>
                <w:sz w:val="18"/>
              </w:rPr>
              <w:t>Credit_Score</w:t>
            </w:r>
          </w:p>
        </w:tc>
        <w:tc>
          <w:tcPr>
            <w:tcW w:type="dxa" w:w="5783"/>
          </w:tcPr>
          <w:p>
            <w:r>
              <w:rPr>
                <w:rFonts w:ascii="Arial" w:hAnsi="Arial"/>
                <w:i w:val="0"/>
                <w:sz w:val="18"/>
              </w:rPr>
              <w:t>Synthèse externe de la solvabilité, standard dans les modèles de crédit.</w:t>
            </w:r>
          </w:p>
        </w:tc>
      </w:tr>
      <w:tr>
        <w:tc>
          <w:tcPr>
            <w:tcW w:type="dxa" w:w="454"/>
          </w:tcPr>
          <w:p>
            <w:r>
              <w:rPr>
                <w:rFonts w:ascii="Arial" w:hAnsi="Arial"/>
                <w:i w:val="0"/>
                <w:sz w:val="18"/>
              </w:rPr>
              <w:t>5</w:t>
            </w:r>
          </w:p>
        </w:tc>
        <w:tc>
          <w:tcPr>
            <w:tcW w:type="dxa" w:w="3118"/>
          </w:tcPr>
          <w:p>
            <w:r>
              <w:rPr>
                <w:rFonts w:ascii="Arial" w:hAnsi="Arial"/>
                <w:i w:val="0"/>
                <w:sz w:val="18"/>
              </w:rPr>
              <w:t>Employment_Status</w:t>
            </w:r>
          </w:p>
        </w:tc>
        <w:tc>
          <w:tcPr>
            <w:tcW w:type="dxa" w:w="5783"/>
          </w:tcPr>
          <w:p>
            <w:r>
              <w:rPr>
                <w:rFonts w:ascii="Arial" w:hAnsi="Arial"/>
                <w:i w:val="0"/>
                <w:sz w:val="18"/>
              </w:rPr>
              <w:t>La stabilité des revenus influence la capacité à payer (19,4 % de délinquance chez les chômeurs).</w:t>
            </w:r>
          </w:p>
        </w:tc>
      </w:tr>
    </w:tbl>
    <w:p w14:paraId="0F0274EA"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Variables secondaires : </w:t>
      </w:r>
      <w:r>
        <w:rPr>
          <w:rFonts w:ascii="Arial" w:hAnsi="Arial"/>
          <w:i w:val="0"/>
        </w:rPr>
        <w:t>Account_Tenure / New_Account (28,6 % de délinquance pour les comptes de moins d'un an), Credit_Card_Type, Income, Loan_Balance.</w:t>
      </w:r>
    </w:p>
    <w:p w14:paraId="0F0274EA"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Variables exclues : </w:t>
      </w:r>
      <w:r>
        <w:rPr>
          <w:rFonts w:ascii="Arial" w:hAnsi="Arial"/>
          <w:i w:val="0"/>
        </w:rPr>
        <w:t>Location et Age, pour éviter une discrimination géographique ou liée à l'âge. Elles sont réservées aux contrôles d'équité.</w:t>
      </w:r>
    </w:p>
    <w:p w14:paraId="0F0274EA"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Point d'attention : </w:t>
      </w:r>
      <w:r>
        <w:rPr>
          <w:rFonts w:ascii="Arial" w:hAnsi="Arial"/>
          <w:i w:val="0"/>
        </w:rPr>
        <w:t>appliqué au jeu actuel, le pipeline reproduit les relations inversées constatées dans l'EDA (des clients avec 6 paiements manqués classés « Faible »). La logique est valable, mais le modèle ne doit pas être déployé avant la fiabilisation des données par Geldium.</w:t>
      </w:r>
    </w:p>
    <w:p w14:paraId="35E39D13"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2. Justification du choix du modèle</w:t>
      </w:r>
    </w:p>
    <w:p w14:paraId="780DB871"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Pourquoi ce type de modèle ? Critères considérés : précision, transparence, facilité de mise en œuvre, pertinence pour la prédiction financière et adéquation aux besoins de Geldium.</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Prompts GenAI utilisés :</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Explique les avantages et inconvénients de la régression logistique par rapport aux arbres de décision pour la prévision du risque financier. »</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Compare les options de modèles pour prédire la délinquance et explique comment elles équilibrent performance et explicabilité. »</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 « Explique comment ces modèles répondent aux besoins opérationnels : vitesse, scalabilité et facilité de surveillance. »</w:t>
      </w:r>
    </w:p>
    <w:p w14:paraId="4169BF63" w14:textId="77777777" w:rsidR="004B5529" w:rsidRPr="00E31114" w:rsidRDefault="00E31114">
      <w:pPr>
        <w:rPr>
          <w:rFonts w:ascii="Arial" w:hAnsi="Arial" w:cs="Arial"/>
          <w:i w:val="0"/>
          <w:iCs w:val="0"/>
          <w:color w:val="000000" w:themeColor="text1"/>
        </w:rPr>
      </w:pPr>
      <w:r w:rsidRPr="00E31114">
        <w:rPr>
          <w:rFonts w:ascii="Arial" w:hAnsi="Arial" w:cs="Arial"/>
          <w:b/>
          <w:i w:val="0"/>
          <w:iCs w:val="0"/>
          <w:color w:val="000000" w:themeColor="text1"/>
        </w:rPr>
        <w:t>Comparaison des options :</w:t>
      </w:r>
    </w:p>
    <w:tbl>
      <w:tblPr>
        <w:tblStyle w:val="TableGrid"/>
        <w:tblW w:type="auto" w:w="0"/>
        <w:tblLook w:firstColumn="1" w:firstRow="1" w:lastColumn="0" w:lastRow="0" w:noHBand="0" w:noVBand="1" w:val="04A0"/>
      </w:tblPr>
      <w:tblGrid>
        <w:gridCol w:w="2160"/>
        <w:gridCol w:w="2160"/>
        <w:gridCol w:w="2160"/>
        <w:gridCol w:w="2160"/>
      </w:tblGrid>
      <w:tr>
        <w:tc>
          <w:tcPr>
            <w:tcW w:type="dxa" w:w="1928"/>
            <w:shd w:val="clear" w:color="auto" w:fill="DCE6F2"/>
          </w:tcPr>
          <w:p>
            <w:r>
              <w:rPr>
                <w:rFonts w:ascii="Arial" w:hAnsi="Arial"/>
                <w:b/>
                <w:i w:val="0"/>
                <w:sz w:val="18"/>
              </w:rPr>
              <w:t>Critère</w:t>
            </w:r>
          </w:p>
        </w:tc>
        <w:tc>
          <w:tcPr>
            <w:tcW w:type="dxa" w:w="2608"/>
            <w:shd w:val="clear" w:color="auto" w:fill="DCE6F2"/>
          </w:tcPr>
          <w:p>
            <w:r>
              <w:rPr>
                <w:rFonts w:ascii="Arial" w:hAnsi="Arial"/>
                <w:b/>
                <w:i w:val="0"/>
                <w:sz w:val="18"/>
              </w:rPr>
              <w:t>Régression logistique</w:t>
            </w:r>
          </w:p>
        </w:tc>
        <w:tc>
          <w:tcPr>
            <w:tcW w:type="dxa" w:w="2381"/>
            <w:shd w:val="clear" w:color="auto" w:fill="DCE6F2"/>
          </w:tcPr>
          <w:p>
            <w:r>
              <w:rPr>
                <w:rFonts w:ascii="Arial" w:hAnsi="Arial"/>
                <w:b/>
                <w:i w:val="0"/>
                <w:sz w:val="18"/>
              </w:rPr>
              <w:t>Arbre de décision</w:t>
            </w:r>
          </w:p>
        </w:tc>
        <w:tc>
          <w:tcPr>
            <w:tcW w:type="dxa" w:w="2438"/>
            <w:shd w:val="clear" w:color="auto" w:fill="DCE6F2"/>
          </w:tcPr>
          <w:p>
            <w:r>
              <w:rPr>
                <w:rFonts w:ascii="Arial" w:hAnsi="Arial"/>
                <w:b/>
                <w:i w:val="0"/>
                <w:sz w:val="18"/>
              </w:rPr>
              <w:t>Gradient boosting</w:t>
            </w:r>
          </w:p>
        </w:tc>
      </w:tr>
      <w:tr>
        <w:tc>
          <w:tcPr>
            <w:tcW w:type="dxa" w:w="1928"/>
          </w:tcPr>
          <w:p>
            <w:r>
              <w:rPr>
                <w:rFonts w:ascii="Arial" w:hAnsi="Arial"/>
                <w:i w:val="0"/>
                <w:sz w:val="18"/>
              </w:rPr>
              <w:t>Précision attendue</w:t>
            </w:r>
          </w:p>
        </w:tc>
        <w:tc>
          <w:tcPr>
            <w:tcW w:type="dxa" w:w="2608"/>
          </w:tcPr>
          <w:p>
            <w:r>
              <w:rPr>
                <w:rFonts w:ascii="Arial" w:hAnsi="Arial"/>
                <w:i w:val="0"/>
                <w:sz w:val="18"/>
              </w:rPr>
              <w:t>Bonne si les relations sont monotones (cas typique du crédit)</w:t>
            </w:r>
          </w:p>
        </w:tc>
        <w:tc>
          <w:tcPr>
            <w:tcW w:type="dxa" w:w="2381"/>
          </w:tcPr>
          <w:p>
            <w:r>
              <w:rPr>
                <w:rFonts w:ascii="Arial" w:hAnsi="Arial"/>
                <w:i w:val="0"/>
                <w:sz w:val="18"/>
              </w:rPr>
              <w:t>Moyenne, scores en paliers</w:t>
            </w:r>
          </w:p>
        </w:tc>
        <w:tc>
          <w:tcPr>
            <w:tcW w:type="dxa" w:w="2438"/>
          </w:tcPr>
          <w:p>
            <w:r>
              <w:rPr>
                <w:rFonts w:ascii="Arial" w:hAnsi="Arial"/>
                <w:i w:val="0"/>
                <w:sz w:val="18"/>
              </w:rPr>
              <w:t>Souvent la meilleure sur de grands volumes</w:t>
            </w:r>
          </w:p>
        </w:tc>
      </w:tr>
      <w:tr>
        <w:tc>
          <w:tcPr>
            <w:tcW w:type="dxa" w:w="1928"/>
          </w:tcPr>
          <w:p>
            <w:r>
              <w:rPr>
                <w:rFonts w:ascii="Arial" w:hAnsi="Arial"/>
                <w:i w:val="0"/>
                <w:sz w:val="18"/>
              </w:rPr>
              <w:t>Interprétabilité</w:t>
            </w:r>
          </w:p>
        </w:tc>
        <w:tc>
          <w:tcPr>
            <w:tcW w:type="dxa" w:w="2608"/>
          </w:tcPr>
          <w:p>
            <w:r>
              <w:rPr>
                <w:rFonts w:ascii="Arial" w:hAnsi="Arial"/>
                <w:i w:val="0"/>
                <w:sz w:val="18"/>
              </w:rPr>
              <w:t>Odds ratios lisibles, codes motifs par client</w:t>
            </w:r>
          </w:p>
        </w:tc>
        <w:tc>
          <w:tcPr>
            <w:tcW w:type="dxa" w:w="2381"/>
          </w:tcPr>
          <w:p>
            <w:r>
              <w:rPr>
                <w:rFonts w:ascii="Arial" w:hAnsi="Arial"/>
                <w:i w:val="0"/>
                <w:sz w:val="18"/>
              </w:rPr>
              <w:t>Règles « si… alors » lisibles si l'arbre est peu profond</w:t>
            </w:r>
          </w:p>
        </w:tc>
        <w:tc>
          <w:tcPr>
            <w:tcW w:type="dxa" w:w="2438"/>
          </w:tcPr>
          <w:p>
            <w:r>
              <w:rPr>
                <w:rFonts w:ascii="Arial" w:hAnsi="Arial"/>
                <w:i w:val="0"/>
                <w:sz w:val="18"/>
              </w:rPr>
              <w:t>Boîte noire, nécessite SHAP</w:t>
            </w:r>
          </w:p>
        </w:tc>
      </w:tr>
      <w:tr>
        <w:tc>
          <w:tcPr>
            <w:tcW w:type="dxa" w:w="1928"/>
          </w:tcPr>
          <w:p>
            <w:r>
              <w:rPr>
                <w:rFonts w:ascii="Arial" w:hAnsi="Arial"/>
                <w:i w:val="0"/>
                <w:sz w:val="18"/>
              </w:rPr>
              <w:t>Conformité réglementaire</w:t>
            </w:r>
          </w:p>
        </w:tc>
        <w:tc>
          <w:tcPr>
            <w:tcW w:type="dxa" w:w="2608"/>
          </w:tcPr>
          <w:p>
            <w:r>
              <w:rPr>
                <w:rFonts w:ascii="Arial" w:hAnsi="Arial"/>
                <w:i w:val="0"/>
                <w:sz w:val="18"/>
              </w:rPr>
              <w:t>Standard accepté des régulateurs (scorecards)</w:t>
            </w:r>
          </w:p>
        </w:tc>
        <w:tc>
          <w:tcPr>
            <w:tcW w:type="dxa" w:w="2381"/>
          </w:tcPr>
          <w:p>
            <w:r>
              <w:rPr>
                <w:rFonts w:ascii="Arial" w:hAnsi="Arial"/>
                <w:i w:val="0"/>
                <w:sz w:val="18"/>
              </w:rPr>
              <w:t>Acceptable</w:t>
            </w:r>
          </w:p>
        </w:tc>
        <w:tc>
          <w:tcPr>
            <w:tcW w:type="dxa" w:w="2438"/>
          </w:tcPr>
          <w:p>
            <w:r>
              <w:rPr>
                <w:rFonts w:ascii="Arial" w:hAnsi="Arial"/>
                <w:i w:val="0"/>
                <w:sz w:val="18"/>
              </w:rPr>
              <w:t>Documentation et validation renforcées</w:t>
            </w:r>
          </w:p>
        </w:tc>
      </w:tr>
      <w:tr>
        <w:tc>
          <w:tcPr>
            <w:tcW w:type="dxa" w:w="1928"/>
          </w:tcPr>
          <w:p>
            <w:r>
              <w:rPr>
                <w:rFonts w:ascii="Arial" w:hAnsi="Arial"/>
                <w:i w:val="0"/>
                <w:sz w:val="18"/>
              </w:rPr>
              <w:t>Données financières (500 lignes, 16 % de défauts)</w:t>
            </w:r>
          </w:p>
        </w:tc>
        <w:tc>
          <w:tcPr>
            <w:tcW w:type="dxa" w:w="2608"/>
          </w:tcPr>
          <w:p>
            <w:r>
              <w:rPr>
                <w:rFonts w:ascii="Arial" w:hAnsi="Arial"/>
                <w:i w:val="0"/>
                <w:sz w:val="18"/>
              </w:rPr>
              <w:t>Stable, déséquilibre géré par pondération</w:t>
            </w:r>
          </w:p>
        </w:tc>
        <w:tc>
          <w:tcPr>
            <w:tcW w:type="dxa" w:w="2381"/>
          </w:tcPr>
          <w:p>
            <w:r>
              <w:rPr>
                <w:rFonts w:ascii="Arial" w:hAnsi="Arial"/>
                <w:i w:val="0"/>
                <w:sz w:val="18"/>
              </w:rPr>
              <w:t>Surapprentissage sans élagage</w:t>
            </w:r>
          </w:p>
        </w:tc>
        <w:tc>
          <w:tcPr>
            <w:tcW w:type="dxa" w:w="2438"/>
          </w:tcPr>
          <w:p>
            <w:r>
              <w:rPr>
                <w:rFonts w:ascii="Arial" w:hAnsi="Arial"/>
                <w:i w:val="0"/>
                <w:sz w:val="18"/>
              </w:rPr>
              <w:t>Surapprentissage élevé</w:t>
            </w:r>
          </w:p>
        </w:tc>
      </w:tr>
      <w:tr>
        <w:tc>
          <w:tcPr>
            <w:tcW w:type="dxa" w:w="1928"/>
          </w:tcPr>
          <w:p>
            <w:r>
              <w:rPr>
                <w:rFonts w:ascii="Arial" w:hAnsi="Arial"/>
                <w:i w:val="0"/>
                <w:sz w:val="18"/>
              </w:rPr>
              <w:t>Vitesse / scalabilité</w:t>
            </w:r>
          </w:p>
        </w:tc>
        <w:tc>
          <w:tcPr>
            <w:tcW w:type="dxa" w:w="2608"/>
          </w:tcPr>
          <w:p>
            <w:r>
              <w:rPr>
                <w:rFonts w:ascii="Arial" w:hAnsi="Arial"/>
                <w:i w:val="0"/>
                <w:sz w:val="18"/>
              </w:rPr>
              <w:t>Millisecondes ; formule déployable même en SQL</w:t>
            </w:r>
          </w:p>
        </w:tc>
        <w:tc>
          <w:tcPr>
            <w:tcW w:type="dxa" w:w="2381"/>
          </w:tcPr>
          <w:p>
            <w:r>
              <w:rPr>
                <w:rFonts w:ascii="Arial" w:hAnsi="Arial"/>
                <w:i w:val="0"/>
                <w:sz w:val="18"/>
              </w:rPr>
              <w:t>Rapide</w:t>
            </w:r>
          </w:p>
        </w:tc>
        <w:tc>
          <w:tcPr>
            <w:tcW w:type="dxa" w:w="2438"/>
          </w:tcPr>
          <w:p>
            <w:r>
              <w:rPr>
                <w:rFonts w:ascii="Arial" w:hAnsi="Arial"/>
                <w:i w:val="0"/>
                <w:sz w:val="18"/>
              </w:rPr>
              <w:t>Entraînement et réglage plus coûteux</w:t>
            </w:r>
          </w:p>
        </w:tc>
      </w:tr>
      <w:tr>
        <w:tc>
          <w:tcPr>
            <w:tcW w:type="dxa" w:w="1928"/>
          </w:tcPr>
          <w:p>
            <w:r>
              <w:rPr>
                <w:rFonts w:ascii="Arial" w:hAnsi="Arial"/>
                <w:i w:val="0"/>
                <w:sz w:val="18"/>
              </w:rPr>
              <w:t>Surveillance</w:t>
            </w:r>
          </w:p>
        </w:tc>
        <w:tc>
          <w:tcPr>
            <w:tcW w:type="dxa" w:w="2608"/>
          </w:tcPr>
          <w:p>
            <w:r>
              <w:rPr>
                <w:rFonts w:ascii="Arial" w:hAnsi="Arial"/>
                <w:i w:val="0"/>
                <w:sz w:val="18"/>
              </w:rPr>
              <w:t>Suivi simple de la dérive de chaque coefficient</w:t>
            </w:r>
          </w:p>
        </w:tc>
        <w:tc>
          <w:tcPr>
            <w:tcW w:type="dxa" w:w="2381"/>
          </w:tcPr>
          <w:p>
            <w:r>
              <w:rPr>
                <w:rFonts w:ascii="Arial" w:hAnsi="Arial"/>
                <w:i w:val="0"/>
                <w:sz w:val="18"/>
              </w:rPr>
              <w:t>Simple</w:t>
            </w:r>
          </w:p>
        </w:tc>
        <w:tc>
          <w:tcPr>
            <w:tcW w:type="dxa" w:w="2438"/>
          </w:tcPr>
          <w:p>
            <w:r>
              <w:rPr>
                <w:rFonts w:ascii="Arial" w:hAnsi="Arial"/>
                <w:i w:val="0"/>
                <w:sz w:val="18"/>
              </w:rPr>
              <w:t>Dérive diffuse sur des centaines d'arbres</w:t>
            </w:r>
          </w:p>
        </w:tc>
      </w:tr>
    </w:tbl>
    <w:p w14:paraId="4169BF63"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Justification :</w:t>
      </w:r>
    </w:p>
    <w:p w14:paraId="4169BF63" w14:textId="77777777" w:rsidR="004B5529" w:rsidRPr="00E31114" w:rsidRDefault="00E31114">
      <w:pPr>
        <w:spacing w:before="200"/>
        <w:rPr>
          <w:rFonts w:ascii="Arial" w:hAnsi="Arial" w:cs="Arial"/>
          <w:i w:val="0"/>
          <w:iCs w:val="0"/>
          <w:color w:val="000000" w:themeColor="text1"/>
        </w:rPr>
      </w:pPr>
      <w:r w:rsidRPr="00E31114">
        <w:rPr>
          <w:rFonts w:ascii="Arial" w:hAnsi="Arial" w:cs="Arial"/>
          <w:i w:val="0"/>
          <w:iCs w:val="0"/>
          <w:color w:val="000000" w:themeColor="text1"/>
        </w:rPr>
        <w:t>La régression logistique pondérée est le modèle le plus adapté aux besoins actuels de Geldium. Dans le crédit à la consommation, chaque décision défavorable doit pouvoir être expliquée au client et au régulateur (Equal Credit Opportunity Act aux États-Unis, article 22 du RGPD en Europe). Les coefficients de la régression logistique se traduisent directement en odds ratios et en codes motifs (« utilisation élevée du crédit », « paiements manqués récents »), ce qui répond à cette exigence de transparence sans outil supplémentaire. Le modèle est aussi adapté aux données : il reste stable sur 500 clients et gère le déséquilibre des classes (16 % de délinquants) par simple pondération, alors qu'un gradient boosting surapprendrait et qu'un arbre de décision produirait des scores en paliers. Sur le plan opérationnel, il s'entraîne et score en quelques millisecondes, se déploie comme une simple formule (y compris en SQL dans les systèmes existants) et se surveille facilement en suivant la dérive de chaque coefficient. Le compromis est une précision potentiellement inférieure si des relations non linéaires fortes existent. C'est pourquoi un gradient boosting sera entraîné comme challenger : s'il dépasse nettement la régression logistique en AUC, les interactions qu'il détecte seront ajoutées explicitement au modèle principal.</w:t>
      </w:r>
    </w:p>
    <w:p w14:paraId="4169BF63" w14:textId="77777777" w:rsidR="004B5529" w:rsidRPr="00E31114" w:rsidRDefault="00E31114">
      <w:pPr>
        <w:spacing w:before="200"/>
        <w:rPr>
          <w:rFonts w:ascii="Arial" w:hAnsi="Arial" w:cs="Arial"/>
          <w:i w:val="0"/>
          <w:iCs w:val="0"/>
          <w:color w:val="000000" w:themeColor="text1"/>
        </w:rPr>
      </w:pPr>
      <w:r w:rsidRPr="00E31114">
        <w:rPr>
          <w:rFonts w:ascii="Arial" w:hAnsi="Arial" w:cs="Arial"/>
          <w:b/>
          <w:i w:val="0"/>
          <w:iCs w:val="0"/>
          <w:color w:val="000000" w:themeColor="text1"/>
        </w:rPr>
        <w:t xml:space="preserve">Ce que la transparence a permis de détecter : </w:t>
      </w:r>
      <w:r>
        <w:rPr>
          <w:rFonts w:ascii="Arial" w:hAnsi="Arial"/>
          <w:i w:val="0"/>
        </w:rPr>
        <w:t>appliquée aux données actuelles, la régression logistique affiche des coefficients de signe contraire à la logique métier : les paiements manqués réduisent le risque estimé, tandis que le Credit_Score et le revenu l'augmentent. Un modèle boîte noire aurait masqué ces incohérences ; la régression logistique les rend visibles immédiatement, ce qui confirme les problèmes de données de l'EDA et illustre pourquoi un modèle contrôlable par des experts métier est indispensable en contexte financier.</w:t>
      </w:r>
    </w:p>
    <w:p w14:paraId="10E007DE" w14:textId="77777777" w:rsidR="004B5529" w:rsidRPr="00E31114" w:rsidRDefault="00E31114">
      <w:pPr>
        <w:pStyle w:val="Heading1"/>
        <w:rPr>
          <w:rFonts w:ascii="Arial" w:hAnsi="Arial" w:cs="Arial"/>
          <w:i w:val="0"/>
          <w:iCs w:val="0"/>
          <w:color w:val="000000" w:themeColor="text1"/>
        </w:rPr>
      </w:pPr>
      <w:r w:rsidRPr="00E31114">
        <w:rPr>
          <w:rFonts w:ascii="Arial" w:hAnsi="Arial" w:cs="Arial"/>
          <w:i w:val="0"/>
          <w:iCs w:val="0"/>
          <w:color w:val="000000" w:themeColor="text1"/>
        </w:rPr>
        <w:t>3. Stratégie d'évaluation</w:t>
      </w:r>
    </w:p>
    <w:p w14:paraId="7D9A8D63" w14:textId="77777777"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Comment évaluer la performance du modèle : métriques utilisées et interprétation, détection et réduction des biais, considérations éthiques liées aux prédictions sur le comportement financier des clients.</w:t>
      </w:r>
    </w:p>
    <w:p w14:paraId="2D2F0295" w14:textId="6D40A0EA" w:rsidR="004B5529" w:rsidRPr="00E31114" w:rsidRDefault="00E31114">
      <w:pPr>
        <w:rPr>
          <w:rFonts w:ascii="Arial" w:hAnsi="Arial" w:cs="Arial"/>
          <w:i w:val="0"/>
          <w:iCs w:val="0"/>
          <w:color w:val="000000" w:themeColor="text1"/>
        </w:rPr>
      </w:pPr>
      <w:r w:rsidRPr="00E31114">
        <w:rPr>
          <w:rFonts w:ascii="Arial" w:hAnsi="Arial" w:cs="Arial"/>
          <w:i w:val="0"/>
          <w:iCs w:val="0"/>
          <w:color w:val="000000" w:themeColor="text1"/>
        </w:rPr>
        <w:t>[À compléter à l'étape 3]</w:t>
      </w:r>
    </w:p>
    <w:sectPr w:rsidR="004B5529" w:rsidRPr="00E31114"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C93FDF" w14:textId="77777777" w:rsidR="00E31114" w:rsidRDefault="00E31114" w:rsidP="00E31114">
      <w:pPr>
        <w:spacing w:after="0" w:line="240" w:lineRule="auto"/>
      </w:pPr>
      <w:r>
        <w:separator/>
      </w:r>
    </w:p>
  </w:endnote>
  <w:endnote w:type="continuationSeparator" w:id="0">
    <w:p w14:paraId="45D9DEED" w14:textId="77777777" w:rsidR="00E31114" w:rsidRDefault="00E31114" w:rsidP="00E311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6222F" w14:textId="77777777" w:rsidR="00E31114" w:rsidRDefault="00E31114" w:rsidP="00E31114">
      <w:pPr>
        <w:spacing w:after="0" w:line="240" w:lineRule="auto"/>
      </w:pPr>
      <w:r>
        <w:separator/>
      </w:r>
    </w:p>
  </w:footnote>
  <w:footnote w:type="continuationSeparator" w:id="0">
    <w:p w14:paraId="5357F110" w14:textId="77777777" w:rsidR="00E31114" w:rsidRDefault="00E31114" w:rsidP="00E311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517537">
    <w:abstractNumId w:val="8"/>
  </w:num>
  <w:num w:numId="2" w16cid:durableId="662591834">
    <w:abstractNumId w:val="6"/>
  </w:num>
  <w:num w:numId="3" w16cid:durableId="788158861">
    <w:abstractNumId w:val="5"/>
  </w:num>
  <w:num w:numId="4" w16cid:durableId="645207700">
    <w:abstractNumId w:val="4"/>
  </w:num>
  <w:num w:numId="5" w16cid:durableId="1573539268">
    <w:abstractNumId w:val="7"/>
  </w:num>
  <w:num w:numId="6" w16cid:durableId="206184450">
    <w:abstractNumId w:val="3"/>
  </w:num>
  <w:num w:numId="7" w16cid:durableId="1710837754">
    <w:abstractNumId w:val="2"/>
  </w:num>
  <w:num w:numId="8" w16cid:durableId="716853685">
    <w:abstractNumId w:val="1"/>
  </w:num>
  <w:num w:numId="9" w16cid:durableId="1352419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B5529"/>
    <w:rsid w:val="008237CA"/>
    <w:rsid w:val="00AA1D8D"/>
    <w:rsid w:val="00B47730"/>
    <w:rsid w:val="00CB0664"/>
    <w:rsid w:val="00E311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494E744"/>
  <w14:defaultImageDpi w14:val="300"/>
  <w15:docId w15:val="{578686E3-F8AA-B641-B7B7-8F5C3F9AF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1114"/>
    <w:rPr>
      <w:i/>
      <w:iCs/>
      <w:sz w:val="20"/>
      <w:szCs w:val="20"/>
    </w:rPr>
  </w:style>
  <w:style w:type="paragraph" w:styleId="Heading1">
    <w:name w:val="heading 1"/>
    <w:basedOn w:val="Normal"/>
    <w:next w:val="Normal"/>
    <w:link w:val="Heading1Char"/>
    <w:uiPriority w:val="9"/>
    <w:qFormat/>
    <w:rsid w:val="00E31114"/>
    <w:pPr>
      <w:pBdr>
        <w:top w:val="single" w:sz="8" w:space="0" w:color="B2B2B2" w:themeColor="accent2"/>
        <w:left w:val="single" w:sz="8" w:space="0" w:color="B2B2B2" w:themeColor="accent2"/>
        <w:bottom w:val="single" w:sz="8" w:space="0" w:color="B2B2B2" w:themeColor="accent2"/>
        <w:right w:val="single" w:sz="8" w:space="0" w:color="B2B2B2" w:themeColor="accent2"/>
      </w:pBdr>
      <w:shd w:val="clear" w:color="auto" w:fill="EFEFEF" w:themeFill="accent2" w:themeFillTint="33"/>
      <w:spacing w:before="480" w:after="100" w:line="269" w:lineRule="auto"/>
      <w:contextualSpacing/>
      <w:outlineLvl w:val="0"/>
    </w:pPr>
    <w:rPr>
      <w:rFonts w:asciiTheme="majorHAnsi" w:eastAsiaTheme="majorEastAsia" w:hAnsiTheme="majorHAnsi" w:cstheme="majorBidi"/>
      <w:b/>
      <w:bCs/>
      <w:color w:val="585858" w:themeColor="accent2" w:themeShade="7F"/>
      <w:sz w:val="22"/>
      <w:szCs w:val="22"/>
    </w:rPr>
  </w:style>
  <w:style w:type="paragraph" w:styleId="Heading2">
    <w:name w:val="heading 2"/>
    <w:basedOn w:val="Normal"/>
    <w:next w:val="Normal"/>
    <w:link w:val="Heading2Char"/>
    <w:uiPriority w:val="9"/>
    <w:unhideWhenUsed/>
    <w:qFormat/>
    <w:rsid w:val="00E31114"/>
    <w:pPr>
      <w:pBdr>
        <w:top w:val="single" w:sz="4" w:space="0" w:color="B2B2B2" w:themeColor="accent2"/>
        <w:left w:val="single" w:sz="48" w:space="2" w:color="B2B2B2" w:themeColor="accent2"/>
        <w:bottom w:val="single" w:sz="4" w:space="0" w:color="B2B2B2" w:themeColor="accent2"/>
        <w:right w:val="single" w:sz="4" w:space="4" w:color="B2B2B2" w:themeColor="accent2"/>
      </w:pBdr>
      <w:spacing w:before="200" w:after="100" w:line="269" w:lineRule="auto"/>
      <w:ind w:left="144"/>
      <w:contextualSpacing/>
      <w:outlineLvl w:val="1"/>
    </w:pPr>
    <w:rPr>
      <w:rFonts w:asciiTheme="majorHAnsi" w:eastAsiaTheme="majorEastAsia" w:hAnsiTheme="majorHAnsi" w:cstheme="majorBidi"/>
      <w:b/>
      <w:bCs/>
      <w:color w:val="858585" w:themeColor="accent2" w:themeShade="BF"/>
      <w:sz w:val="22"/>
      <w:szCs w:val="22"/>
    </w:rPr>
  </w:style>
  <w:style w:type="paragraph" w:styleId="Heading3">
    <w:name w:val="heading 3"/>
    <w:basedOn w:val="Normal"/>
    <w:next w:val="Normal"/>
    <w:link w:val="Heading3Char"/>
    <w:uiPriority w:val="9"/>
    <w:unhideWhenUsed/>
    <w:qFormat/>
    <w:rsid w:val="00E31114"/>
    <w:pPr>
      <w:pBdr>
        <w:left w:val="single" w:sz="48" w:space="2" w:color="B2B2B2" w:themeColor="accent2"/>
        <w:bottom w:val="single" w:sz="4" w:space="0" w:color="B2B2B2" w:themeColor="accent2"/>
      </w:pBdr>
      <w:spacing w:before="200" w:after="100" w:line="240" w:lineRule="auto"/>
      <w:ind w:left="144"/>
      <w:contextualSpacing/>
      <w:outlineLvl w:val="2"/>
    </w:pPr>
    <w:rPr>
      <w:rFonts w:asciiTheme="majorHAnsi" w:eastAsiaTheme="majorEastAsia" w:hAnsiTheme="majorHAnsi" w:cstheme="majorBidi"/>
      <w:b/>
      <w:bCs/>
      <w:color w:val="858585" w:themeColor="accent2" w:themeShade="BF"/>
      <w:sz w:val="22"/>
      <w:szCs w:val="22"/>
    </w:rPr>
  </w:style>
  <w:style w:type="paragraph" w:styleId="Heading4">
    <w:name w:val="heading 4"/>
    <w:basedOn w:val="Normal"/>
    <w:next w:val="Normal"/>
    <w:link w:val="Heading4Char"/>
    <w:uiPriority w:val="9"/>
    <w:semiHidden/>
    <w:unhideWhenUsed/>
    <w:qFormat/>
    <w:rsid w:val="00E31114"/>
    <w:pPr>
      <w:pBdr>
        <w:left w:val="single" w:sz="4" w:space="2" w:color="B2B2B2" w:themeColor="accent2"/>
        <w:bottom w:val="single" w:sz="4" w:space="2" w:color="B2B2B2" w:themeColor="accent2"/>
      </w:pBdr>
      <w:spacing w:before="200" w:after="100" w:line="240" w:lineRule="auto"/>
      <w:ind w:left="86"/>
      <w:contextualSpacing/>
      <w:outlineLvl w:val="3"/>
    </w:pPr>
    <w:rPr>
      <w:rFonts w:asciiTheme="majorHAnsi" w:eastAsiaTheme="majorEastAsia" w:hAnsiTheme="majorHAnsi" w:cstheme="majorBidi"/>
      <w:b/>
      <w:bCs/>
      <w:color w:val="858585" w:themeColor="accent2" w:themeShade="BF"/>
      <w:sz w:val="22"/>
      <w:szCs w:val="22"/>
    </w:rPr>
  </w:style>
  <w:style w:type="paragraph" w:styleId="Heading5">
    <w:name w:val="heading 5"/>
    <w:basedOn w:val="Normal"/>
    <w:next w:val="Normal"/>
    <w:link w:val="Heading5Char"/>
    <w:uiPriority w:val="9"/>
    <w:semiHidden/>
    <w:unhideWhenUsed/>
    <w:qFormat/>
    <w:rsid w:val="00E31114"/>
    <w:pPr>
      <w:pBdr>
        <w:left w:val="dotted" w:sz="4" w:space="2" w:color="B2B2B2" w:themeColor="accent2"/>
        <w:bottom w:val="dotted" w:sz="4" w:space="2" w:color="B2B2B2" w:themeColor="accent2"/>
      </w:pBdr>
      <w:spacing w:before="200" w:after="100" w:line="240" w:lineRule="auto"/>
      <w:ind w:left="86"/>
      <w:contextualSpacing/>
      <w:outlineLvl w:val="4"/>
    </w:pPr>
    <w:rPr>
      <w:rFonts w:asciiTheme="majorHAnsi" w:eastAsiaTheme="majorEastAsia" w:hAnsiTheme="majorHAnsi" w:cstheme="majorBidi"/>
      <w:b/>
      <w:bCs/>
      <w:color w:val="858585" w:themeColor="accent2" w:themeShade="BF"/>
      <w:sz w:val="22"/>
      <w:szCs w:val="22"/>
    </w:rPr>
  </w:style>
  <w:style w:type="paragraph" w:styleId="Heading6">
    <w:name w:val="heading 6"/>
    <w:basedOn w:val="Normal"/>
    <w:next w:val="Normal"/>
    <w:link w:val="Heading6Char"/>
    <w:uiPriority w:val="9"/>
    <w:semiHidden/>
    <w:unhideWhenUsed/>
    <w:qFormat/>
    <w:rsid w:val="00E31114"/>
    <w:pPr>
      <w:pBdr>
        <w:bottom w:val="single" w:sz="4" w:space="2" w:color="E0E0E0" w:themeColor="accent2" w:themeTint="66"/>
      </w:pBdr>
      <w:spacing w:before="200" w:after="100" w:line="240" w:lineRule="auto"/>
      <w:contextualSpacing/>
      <w:outlineLvl w:val="5"/>
    </w:pPr>
    <w:rPr>
      <w:rFonts w:asciiTheme="majorHAnsi" w:eastAsiaTheme="majorEastAsia" w:hAnsiTheme="majorHAnsi" w:cstheme="majorBidi"/>
      <w:color w:val="858585" w:themeColor="accent2" w:themeShade="BF"/>
      <w:sz w:val="22"/>
      <w:szCs w:val="22"/>
    </w:rPr>
  </w:style>
  <w:style w:type="paragraph" w:styleId="Heading7">
    <w:name w:val="heading 7"/>
    <w:basedOn w:val="Normal"/>
    <w:next w:val="Normal"/>
    <w:link w:val="Heading7Char"/>
    <w:uiPriority w:val="9"/>
    <w:semiHidden/>
    <w:unhideWhenUsed/>
    <w:qFormat/>
    <w:rsid w:val="00E31114"/>
    <w:pPr>
      <w:pBdr>
        <w:bottom w:val="dotted" w:sz="4" w:space="2" w:color="D0D0D0" w:themeColor="accent2" w:themeTint="99"/>
      </w:pBdr>
      <w:spacing w:before="200" w:after="100" w:line="240" w:lineRule="auto"/>
      <w:contextualSpacing/>
      <w:outlineLvl w:val="6"/>
    </w:pPr>
    <w:rPr>
      <w:rFonts w:asciiTheme="majorHAnsi" w:eastAsiaTheme="majorEastAsia" w:hAnsiTheme="majorHAnsi" w:cstheme="majorBidi"/>
      <w:color w:val="858585" w:themeColor="accent2" w:themeShade="BF"/>
      <w:sz w:val="22"/>
      <w:szCs w:val="22"/>
    </w:rPr>
  </w:style>
  <w:style w:type="paragraph" w:styleId="Heading8">
    <w:name w:val="heading 8"/>
    <w:basedOn w:val="Normal"/>
    <w:next w:val="Normal"/>
    <w:link w:val="Heading8Char"/>
    <w:uiPriority w:val="9"/>
    <w:semiHidden/>
    <w:unhideWhenUsed/>
    <w:qFormat/>
    <w:rsid w:val="00E31114"/>
    <w:pPr>
      <w:spacing w:before="200" w:after="100" w:line="240" w:lineRule="auto"/>
      <w:contextualSpacing/>
      <w:outlineLvl w:val="7"/>
    </w:pPr>
    <w:rPr>
      <w:rFonts w:asciiTheme="majorHAnsi" w:eastAsiaTheme="majorEastAsia" w:hAnsiTheme="majorHAnsi" w:cstheme="majorBidi"/>
      <w:color w:val="B2B2B2" w:themeColor="accent2"/>
      <w:sz w:val="22"/>
      <w:szCs w:val="22"/>
    </w:rPr>
  </w:style>
  <w:style w:type="paragraph" w:styleId="Heading9">
    <w:name w:val="heading 9"/>
    <w:basedOn w:val="Normal"/>
    <w:next w:val="Normal"/>
    <w:link w:val="Heading9Char"/>
    <w:uiPriority w:val="9"/>
    <w:semiHidden/>
    <w:unhideWhenUsed/>
    <w:qFormat/>
    <w:rsid w:val="00E31114"/>
    <w:pPr>
      <w:spacing w:before="200" w:after="100" w:line="240" w:lineRule="auto"/>
      <w:contextualSpacing/>
      <w:outlineLvl w:val="8"/>
    </w:pPr>
    <w:rPr>
      <w:rFonts w:asciiTheme="majorHAnsi" w:eastAsiaTheme="majorEastAsia" w:hAnsiTheme="majorHAnsi" w:cstheme="majorBidi"/>
      <w:color w:val="B2B2B2" w:themeColor="accen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basedOn w:val="Normal"/>
    <w:link w:val="NoSpacingChar"/>
    <w:uiPriority w:val="1"/>
    <w:qFormat/>
    <w:rsid w:val="00E31114"/>
    <w:pPr>
      <w:spacing w:after="0" w:line="240" w:lineRule="auto"/>
    </w:pPr>
  </w:style>
  <w:style w:type="character" w:customStyle="1" w:styleId="Heading1Char">
    <w:name w:val="Heading 1 Char"/>
    <w:basedOn w:val="DefaultParagraphFont"/>
    <w:link w:val="Heading1"/>
    <w:uiPriority w:val="9"/>
    <w:rsid w:val="00E31114"/>
    <w:rPr>
      <w:rFonts w:asciiTheme="majorHAnsi" w:eastAsiaTheme="majorEastAsia" w:hAnsiTheme="majorHAnsi" w:cstheme="majorBidi"/>
      <w:b/>
      <w:bCs/>
      <w:i/>
      <w:iCs/>
      <w:color w:val="585858" w:themeColor="accent2" w:themeShade="7F"/>
      <w:shd w:val="clear" w:color="auto" w:fill="EFEFEF" w:themeFill="accent2" w:themeFillTint="33"/>
    </w:rPr>
  </w:style>
  <w:style w:type="character" w:customStyle="1" w:styleId="Heading2Char">
    <w:name w:val="Heading 2 Char"/>
    <w:basedOn w:val="DefaultParagraphFont"/>
    <w:link w:val="Heading2"/>
    <w:uiPriority w:val="9"/>
    <w:rsid w:val="00E31114"/>
    <w:rPr>
      <w:rFonts w:asciiTheme="majorHAnsi" w:eastAsiaTheme="majorEastAsia" w:hAnsiTheme="majorHAnsi" w:cstheme="majorBidi"/>
      <w:b/>
      <w:bCs/>
      <w:i/>
      <w:iCs/>
      <w:color w:val="858585" w:themeColor="accent2" w:themeShade="BF"/>
    </w:rPr>
  </w:style>
  <w:style w:type="character" w:customStyle="1" w:styleId="Heading3Char">
    <w:name w:val="Heading 3 Char"/>
    <w:basedOn w:val="DefaultParagraphFont"/>
    <w:link w:val="Heading3"/>
    <w:uiPriority w:val="9"/>
    <w:rsid w:val="00E31114"/>
    <w:rPr>
      <w:rFonts w:asciiTheme="majorHAnsi" w:eastAsiaTheme="majorEastAsia" w:hAnsiTheme="majorHAnsi" w:cstheme="majorBidi"/>
      <w:b/>
      <w:bCs/>
      <w:i/>
      <w:iCs/>
      <w:color w:val="858585" w:themeColor="accent2" w:themeShade="BF"/>
    </w:rPr>
  </w:style>
  <w:style w:type="paragraph" w:styleId="Title">
    <w:name w:val="Title"/>
    <w:basedOn w:val="Normal"/>
    <w:next w:val="Normal"/>
    <w:link w:val="TitleChar"/>
    <w:uiPriority w:val="10"/>
    <w:qFormat/>
    <w:rsid w:val="00E31114"/>
    <w:pPr>
      <w:pBdr>
        <w:top w:val="single" w:sz="48" w:space="0" w:color="B2B2B2" w:themeColor="accent2"/>
        <w:bottom w:val="single" w:sz="48" w:space="0" w:color="B2B2B2" w:themeColor="accent2"/>
      </w:pBdr>
      <w:shd w:val="clear" w:color="auto" w:fill="B2B2B2" w:themeFill="accent2"/>
      <w:spacing w:after="0" w:line="240" w:lineRule="auto"/>
      <w:jc w:val="center"/>
    </w:pPr>
    <w:rPr>
      <w:rFonts w:asciiTheme="majorHAnsi" w:eastAsiaTheme="majorEastAsia" w:hAnsiTheme="majorHAnsi" w:cstheme="majorBidi"/>
      <w:color w:val="FFFFFF" w:themeColor="background1"/>
      <w:spacing w:val="10"/>
      <w:sz w:val="48"/>
      <w:szCs w:val="48"/>
    </w:rPr>
  </w:style>
  <w:style w:type="character" w:customStyle="1" w:styleId="TitleChar">
    <w:name w:val="Title Char"/>
    <w:basedOn w:val="DefaultParagraphFont"/>
    <w:link w:val="Title"/>
    <w:uiPriority w:val="10"/>
    <w:rsid w:val="00E31114"/>
    <w:rPr>
      <w:rFonts w:asciiTheme="majorHAnsi" w:eastAsiaTheme="majorEastAsia" w:hAnsiTheme="majorHAnsi" w:cstheme="majorBidi"/>
      <w:i/>
      <w:iCs/>
      <w:color w:val="FFFFFF" w:themeColor="background1"/>
      <w:spacing w:val="10"/>
      <w:sz w:val="48"/>
      <w:szCs w:val="48"/>
      <w:shd w:val="clear" w:color="auto" w:fill="B2B2B2" w:themeFill="accent2"/>
    </w:rPr>
  </w:style>
  <w:style w:type="paragraph" w:styleId="Subtitle">
    <w:name w:val="Subtitle"/>
    <w:basedOn w:val="Normal"/>
    <w:next w:val="Normal"/>
    <w:link w:val="SubtitleChar"/>
    <w:uiPriority w:val="11"/>
    <w:qFormat/>
    <w:rsid w:val="00E31114"/>
    <w:pPr>
      <w:pBdr>
        <w:bottom w:val="dotted" w:sz="8" w:space="10" w:color="B2B2B2" w:themeColor="accent2"/>
      </w:pBdr>
      <w:spacing w:before="200" w:after="900" w:line="240" w:lineRule="auto"/>
      <w:jc w:val="center"/>
    </w:pPr>
    <w:rPr>
      <w:rFonts w:asciiTheme="majorHAnsi" w:eastAsiaTheme="majorEastAsia" w:hAnsiTheme="majorHAnsi" w:cstheme="majorBidi"/>
      <w:color w:val="585858" w:themeColor="accent2" w:themeShade="7F"/>
      <w:sz w:val="24"/>
      <w:szCs w:val="24"/>
    </w:rPr>
  </w:style>
  <w:style w:type="character" w:customStyle="1" w:styleId="SubtitleChar">
    <w:name w:val="Subtitle Char"/>
    <w:basedOn w:val="DefaultParagraphFont"/>
    <w:link w:val="Subtitle"/>
    <w:uiPriority w:val="11"/>
    <w:rsid w:val="00E31114"/>
    <w:rPr>
      <w:rFonts w:asciiTheme="majorHAnsi" w:eastAsiaTheme="majorEastAsia" w:hAnsiTheme="majorHAnsi" w:cstheme="majorBidi"/>
      <w:i/>
      <w:iCs/>
      <w:color w:val="585858" w:themeColor="accent2" w:themeShade="7F"/>
      <w:sz w:val="24"/>
      <w:szCs w:val="24"/>
    </w:rPr>
  </w:style>
  <w:style w:type="paragraph" w:styleId="ListParagraph">
    <w:name w:val="List Paragraph"/>
    <w:basedOn w:val="Normal"/>
    <w:uiPriority w:val="34"/>
    <w:qFormat/>
    <w:rsid w:val="00E31114"/>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E31114"/>
    <w:rPr>
      <w:i w:val="0"/>
      <w:iCs w:val="0"/>
      <w:color w:val="858585" w:themeColor="accent2" w:themeShade="BF"/>
    </w:rPr>
  </w:style>
  <w:style w:type="character" w:customStyle="1" w:styleId="QuoteChar">
    <w:name w:val="Quote Char"/>
    <w:basedOn w:val="DefaultParagraphFont"/>
    <w:link w:val="Quote"/>
    <w:uiPriority w:val="29"/>
    <w:rsid w:val="00E31114"/>
    <w:rPr>
      <w:color w:val="858585" w:themeColor="accent2" w:themeShade="BF"/>
      <w:sz w:val="20"/>
      <w:szCs w:val="20"/>
    </w:rPr>
  </w:style>
  <w:style w:type="character" w:customStyle="1" w:styleId="Heading4Char">
    <w:name w:val="Heading 4 Char"/>
    <w:basedOn w:val="DefaultParagraphFont"/>
    <w:link w:val="Heading4"/>
    <w:uiPriority w:val="9"/>
    <w:semiHidden/>
    <w:rsid w:val="00E31114"/>
    <w:rPr>
      <w:rFonts w:asciiTheme="majorHAnsi" w:eastAsiaTheme="majorEastAsia" w:hAnsiTheme="majorHAnsi" w:cstheme="majorBidi"/>
      <w:b/>
      <w:bCs/>
      <w:i/>
      <w:iCs/>
      <w:color w:val="858585" w:themeColor="accent2" w:themeShade="BF"/>
    </w:rPr>
  </w:style>
  <w:style w:type="character" w:customStyle="1" w:styleId="Heading5Char">
    <w:name w:val="Heading 5 Char"/>
    <w:basedOn w:val="DefaultParagraphFont"/>
    <w:link w:val="Heading5"/>
    <w:uiPriority w:val="9"/>
    <w:semiHidden/>
    <w:rsid w:val="00E31114"/>
    <w:rPr>
      <w:rFonts w:asciiTheme="majorHAnsi" w:eastAsiaTheme="majorEastAsia" w:hAnsiTheme="majorHAnsi" w:cstheme="majorBidi"/>
      <w:b/>
      <w:bCs/>
      <w:i/>
      <w:iCs/>
      <w:color w:val="858585" w:themeColor="accent2" w:themeShade="BF"/>
    </w:rPr>
  </w:style>
  <w:style w:type="character" w:customStyle="1" w:styleId="Heading6Char">
    <w:name w:val="Heading 6 Char"/>
    <w:basedOn w:val="DefaultParagraphFont"/>
    <w:link w:val="Heading6"/>
    <w:uiPriority w:val="9"/>
    <w:semiHidden/>
    <w:rsid w:val="00E31114"/>
    <w:rPr>
      <w:rFonts w:asciiTheme="majorHAnsi" w:eastAsiaTheme="majorEastAsia" w:hAnsiTheme="majorHAnsi" w:cstheme="majorBidi"/>
      <w:i/>
      <w:iCs/>
      <w:color w:val="858585" w:themeColor="accent2" w:themeShade="BF"/>
    </w:rPr>
  </w:style>
  <w:style w:type="character" w:customStyle="1" w:styleId="Heading7Char">
    <w:name w:val="Heading 7 Char"/>
    <w:basedOn w:val="DefaultParagraphFont"/>
    <w:link w:val="Heading7"/>
    <w:uiPriority w:val="9"/>
    <w:semiHidden/>
    <w:rsid w:val="00E31114"/>
    <w:rPr>
      <w:rFonts w:asciiTheme="majorHAnsi" w:eastAsiaTheme="majorEastAsia" w:hAnsiTheme="majorHAnsi" w:cstheme="majorBidi"/>
      <w:i/>
      <w:iCs/>
      <w:color w:val="858585" w:themeColor="accent2" w:themeShade="BF"/>
    </w:rPr>
  </w:style>
  <w:style w:type="character" w:customStyle="1" w:styleId="Heading8Char">
    <w:name w:val="Heading 8 Char"/>
    <w:basedOn w:val="DefaultParagraphFont"/>
    <w:link w:val="Heading8"/>
    <w:uiPriority w:val="9"/>
    <w:semiHidden/>
    <w:rsid w:val="00E31114"/>
    <w:rPr>
      <w:rFonts w:asciiTheme="majorHAnsi" w:eastAsiaTheme="majorEastAsia" w:hAnsiTheme="majorHAnsi" w:cstheme="majorBidi"/>
      <w:i/>
      <w:iCs/>
      <w:color w:val="B2B2B2" w:themeColor="accent2"/>
    </w:rPr>
  </w:style>
  <w:style w:type="character" w:customStyle="1" w:styleId="Heading9Char">
    <w:name w:val="Heading 9 Char"/>
    <w:basedOn w:val="DefaultParagraphFont"/>
    <w:link w:val="Heading9"/>
    <w:uiPriority w:val="9"/>
    <w:semiHidden/>
    <w:rsid w:val="00E31114"/>
    <w:rPr>
      <w:rFonts w:asciiTheme="majorHAnsi" w:eastAsiaTheme="majorEastAsia" w:hAnsiTheme="majorHAnsi" w:cstheme="majorBidi"/>
      <w:i/>
      <w:iCs/>
      <w:color w:val="B2B2B2" w:themeColor="accent2"/>
      <w:sz w:val="20"/>
      <w:szCs w:val="20"/>
    </w:rPr>
  </w:style>
  <w:style w:type="paragraph" w:styleId="Caption">
    <w:name w:val="caption"/>
    <w:basedOn w:val="Normal"/>
    <w:next w:val="Normal"/>
    <w:uiPriority w:val="35"/>
    <w:semiHidden/>
    <w:unhideWhenUsed/>
    <w:qFormat/>
    <w:rsid w:val="00E31114"/>
    <w:rPr>
      <w:b/>
      <w:bCs/>
      <w:color w:val="858585" w:themeColor="accent2" w:themeShade="BF"/>
      <w:sz w:val="18"/>
      <w:szCs w:val="18"/>
    </w:rPr>
  </w:style>
  <w:style w:type="character" w:styleId="Strong">
    <w:name w:val="Strong"/>
    <w:uiPriority w:val="22"/>
    <w:qFormat/>
    <w:rsid w:val="00E31114"/>
    <w:rPr>
      <w:b/>
      <w:bCs/>
      <w:spacing w:val="0"/>
    </w:rPr>
  </w:style>
  <w:style w:type="character" w:styleId="Emphasis">
    <w:name w:val="Emphasis"/>
    <w:uiPriority w:val="20"/>
    <w:qFormat/>
    <w:rsid w:val="00E31114"/>
    <w:rPr>
      <w:rFonts w:asciiTheme="majorHAnsi" w:eastAsiaTheme="majorEastAsia" w:hAnsiTheme="majorHAnsi" w:cstheme="majorBidi"/>
      <w:b/>
      <w:bCs/>
      <w:i/>
      <w:iCs/>
      <w:color w:val="B2B2B2" w:themeColor="accent2"/>
      <w:bdr w:val="single" w:sz="18" w:space="0" w:color="EFEFEF" w:themeColor="accent2" w:themeTint="33"/>
      <w:shd w:val="clear" w:color="auto" w:fill="EFEFEF" w:themeFill="accent2" w:themeFillTint="33"/>
    </w:rPr>
  </w:style>
  <w:style w:type="paragraph" w:styleId="IntenseQuote">
    <w:name w:val="Intense Quote"/>
    <w:basedOn w:val="Normal"/>
    <w:next w:val="Normal"/>
    <w:link w:val="IntenseQuoteChar"/>
    <w:uiPriority w:val="30"/>
    <w:qFormat/>
    <w:rsid w:val="00E31114"/>
    <w:pPr>
      <w:pBdr>
        <w:top w:val="dotted" w:sz="8" w:space="10" w:color="B2B2B2" w:themeColor="accent2"/>
        <w:bottom w:val="dotted" w:sz="8" w:space="10" w:color="B2B2B2" w:themeColor="accent2"/>
      </w:pBdr>
      <w:spacing w:line="300" w:lineRule="auto"/>
      <w:ind w:left="2160" w:right="2160"/>
      <w:jc w:val="center"/>
    </w:pPr>
    <w:rPr>
      <w:rFonts w:asciiTheme="majorHAnsi" w:eastAsiaTheme="majorEastAsia" w:hAnsiTheme="majorHAnsi" w:cstheme="majorBidi"/>
      <w:b/>
      <w:bCs/>
      <w:color w:val="B2B2B2" w:themeColor="accent2"/>
    </w:rPr>
  </w:style>
  <w:style w:type="character" w:customStyle="1" w:styleId="IntenseQuoteChar">
    <w:name w:val="Intense Quote Char"/>
    <w:basedOn w:val="DefaultParagraphFont"/>
    <w:link w:val="IntenseQuote"/>
    <w:uiPriority w:val="30"/>
    <w:rsid w:val="00E31114"/>
    <w:rPr>
      <w:rFonts w:asciiTheme="majorHAnsi" w:eastAsiaTheme="majorEastAsia" w:hAnsiTheme="majorHAnsi" w:cstheme="majorBidi"/>
      <w:b/>
      <w:bCs/>
      <w:i/>
      <w:iCs/>
      <w:color w:val="B2B2B2" w:themeColor="accent2"/>
      <w:sz w:val="20"/>
      <w:szCs w:val="20"/>
    </w:rPr>
  </w:style>
  <w:style w:type="character" w:styleId="SubtleEmphasis">
    <w:name w:val="Subtle Emphasis"/>
    <w:uiPriority w:val="19"/>
    <w:qFormat/>
    <w:rsid w:val="00E31114"/>
    <w:rPr>
      <w:rFonts w:asciiTheme="majorHAnsi" w:eastAsiaTheme="majorEastAsia" w:hAnsiTheme="majorHAnsi" w:cstheme="majorBidi"/>
      <w:i/>
      <w:iCs/>
      <w:color w:val="B2B2B2" w:themeColor="accent2"/>
    </w:rPr>
  </w:style>
  <w:style w:type="character" w:styleId="IntenseEmphasis">
    <w:name w:val="Intense Emphasis"/>
    <w:uiPriority w:val="21"/>
    <w:qFormat/>
    <w:rsid w:val="00E31114"/>
    <w:rPr>
      <w:rFonts w:asciiTheme="majorHAnsi" w:eastAsiaTheme="majorEastAsia" w:hAnsiTheme="majorHAnsi" w:cstheme="majorBidi"/>
      <w:b/>
      <w:bCs/>
      <w:i/>
      <w:iCs/>
      <w:dstrike w:val="0"/>
      <w:color w:val="FFFFFF" w:themeColor="background1"/>
      <w:bdr w:val="single" w:sz="18" w:space="0" w:color="B2B2B2" w:themeColor="accent2"/>
      <w:shd w:val="clear" w:color="auto" w:fill="B2B2B2" w:themeFill="accent2"/>
      <w:vertAlign w:val="baseline"/>
    </w:rPr>
  </w:style>
  <w:style w:type="character" w:styleId="SubtleReference">
    <w:name w:val="Subtle Reference"/>
    <w:uiPriority w:val="31"/>
    <w:qFormat/>
    <w:rsid w:val="00E31114"/>
    <w:rPr>
      <w:i/>
      <w:iCs/>
      <w:smallCaps/>
      <w:color w:val="B2B2B2" w:themeColor="accent2"/>
      <w:u w:color="B2B2B2" w:themeColor="accent2"/>
    </w:rPr>
  </w:style>
  <w:style w:type="character" w:styleId="IntenseReference">
    <w:name w:val="Intense Reference"/>
    <w:uiPriority w:val="32"/>
    <w:qFormat/>
    <w:rsid w:val="00E31114"/>
    <w:rPr>
      <w:b/>
      <w:bCs/>
      <w:i/>
      <w:iCs/>
      <w:smallCaps/>
      <w:color w:val="B2B2B2" w:themeColor="accent2"/>
      <w:u w:color="B2B2B2" w:themeColor="accent2"/>
    </w:rPr>
  </w:style>
  <w:style w:type="character" w:styleId="BookTitle">
    <w:name w:val="Book Title"/>
    <w:uiPriority w:val="33"/>
    <w:qFormat/>
    <w:rsid w:val="00E31114"/>
    <w:rPr>
      <w:rFonts w:asciiTheme="majorHAnsi" w:eastAsiaTheme="majorEastAsia" w:hAnsiTheme="majorHAnsi" w:cstheme="majorBidi"/>
      <w:b/>
      <w:bCs/>
      <w:i/>
      <w:iCs/>
      <w:smallCaps/>
      <w:color w:val="858585" w:themeColor="accent2" w:themeShade="BF"/>
      <w:u w:val="single"/>
    </w:rPr>
  </w:style>
  <w:style w:type="paragraph" w:styleId="TOCHeading">
    <w:name w:val="TOC Heading"/>
    <w:basedOn w:val="Heading1"/>
    <w:next w:val="Normal"/>
    <w:uiPriority w:val="39"/>
    <w:semiHidden/>
    <w:unhideWhenUsed/>
    <w:qFormat/>
    <w:rsid w:val="00E31114"/>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rsid w:val="00FC693F"/>
    <w:pPr>
      <w:spacing w:after="0" w:line="240" w:lineRule="auto"/>
    </w:pPr>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rsid w:val="00FC693F"/>
    <w:pPr>
      <w:spacing w:after="0" w:line="240" w:lineRule="auto"/>
    </w:pPr>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rsid w:val="00FC693F"/>
    <w:pPr>
      <w:spacing w:after="0" w:line="240" w:lineRule="auto"/>
    </w:pPr>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rsid w:val="00FC693F"/>
    <w:pPr>
      <w:spacing w:after="0" w:line="240" w:lineRule="auto"/>
    </w:pPr>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rsid w:val="00FC693F"/>
    <w:pPr>
      <w:spacing w:after="0" w:line="240" w:lineRule="auto"/>
    </w:pPr>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single" w:sz="8" w:space="0" w:color="DDDDD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single" w:sz="8" w:space="0" w:color="B2B2B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single" w:sz="8" w:space="0" w:color="969696"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single" w:sz="8" w:space="0" w:color="80808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single" w:sz="8" w:space="0" w:color="5F5F5F"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single" w:sz="8" w:space="0" w:color="4D4D4D"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character" w:customStyle="1" w:styleId="NoSpacingChar">
    <w:name w:val="No Spacing Char"/>
    <w:basedOn w:val="DefaultParagraphFont"/>
    <w:link w:val="NoSpacing"/>
    <w:uiPriority w:val="1"/>
    <w:rsid w:val="00E31114"/>
    <w:rPr>
      <w:i/>
      <w:iCs/>
      <w:sz w:val="20"/>
      <w:szCs w:val="20"/>
    </w:rPr>
  </w:style>
  <w:style w:type="paragraph" w:customStyle="1" w:styleId="PersonalName">
    <w:name w:val="Personal Name"/>
    <w:basedOn w:val="Title"/>
    <w:rsid w:val="00E31114"/>
    <w:rPr>
      <w:b/>
      <w:caps/>
      <w:color w:val="000000"/>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Gre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190</Words>
  <Characters>1088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Tran, Tammy</cp:lastModifiedBy>
  <cp:revision>2</cp:revision>
  <dcterms:created xsi:type="dcterms:W3CDTF">2013-12-23T23:15:00Z</dcterms:created>
  <dcterms:modified xsi:type="dcterms:W3CDTF">2025-03-21T17:26:00Z</dcterms:modified>
  <cp:category/>
</cp:coreProperties>
</file>