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Plan de modèle prédictif — Délinquance Geldium</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Ce plan décrit l'approche de modélisation proposée pour prévoir quels clients de Geldium présentent le plus grand risque de défaut de paiement. Il s'appuie sur les enseignements de l'analyse exploratoire (partie 1) et sur des outils GenAI utilisés pour structurer la logique du modèle, sa justification et son évaluation.</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Logique du modèle (générée avec la GenAI)</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Le modèle estime, pour chaque client, la probabilité qu'il devienne délinquant. Cette probabilité est convertie en bande de risque (Faible / Moyen / Élevé) qui déclenche une action d'intervention graduée. La logique ci-dessous a été générée avec la GenAI à partir des prompts suivants, puis ajustée selon les résultats de l'EDA :</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 « Esquisse un pipeline de modélisation prédictive pour prévoir les retards de crédit, de la sélection des variables à l'évaluation. »</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 « Propose deux options de modélisation (simple et complexe) pour prédire la délinquance, et recommandes-en une. »</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 « Explique comment le modèle transforme les variables d'un client en une prédiction finale du risque. »</w:t>
      </w:r>
    </w:p>
    <w:p w14:paraId="5B6A10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 « Génère un pseudocode pour un modèle de risque de crédit utilisant le revenu, l'utilisation du crédit et les paiements manqués. »</w:t>
      </w:r>
    </w:p>
    <w:p w14:paraId="0F0274EA" w14:textId="77777777" w:rsidR="004B5529" w:rsidRPr="00E31114" w:rsidRDefault="00E31114">
      <w:pPr>
        <w:rPr>
          <w:rFonts w:ascii="Arial" w:hAnsi="Arial" w:cs="Arial"/>
          <w:i w:val="0"/>
          <w:iCs w:val="0"/>
          <w:color w:val="000000" w:themeColor="text1"/>
        </w:rPr>
      </w:pPr>
      <w:r w:rsidRPr="00E31114">
        <w:rPr>
          <w:rFonts w:ascii="Arial" w:hAnsi="Arial" w:cs="Arial"/>
          <w:b/>
          <w:i w:val="0"/>
          <w:iCs w:val="0"/>
          <w:color w:val="000000" w:themeColor="text1"/>
        </w:rPr>
        <w:t>Deux options de modélisation comparées :</w:t>
      </w:r>
    </w:p>
    <w:tbl>
      <w:tblPr>
        <w:tblStyle w:val="TableGrid"/>
        <w:tblW w:type="auto" w:w="0"/>
        <w:tblLook w:firstColumn="1" w:firstRow="1" w:lastColumn="0" w:lastRow="0" w:noHBand="0" w:noVBand="1" w:val="04A0"/>
      </w:tblPr>
      <w:tblGrid>
        <w:gridCol w:w="2880"/>
        <w:gridCol w:w="2880"/>
        <w:gridCol w:w="2880"/>
      </w:tblGrid>
      <w:tr>
        <w:tc>
          <w:tcPr>
            <w:tcW w:type="dxa" w:w="1814"/>
            <w:shd w:val="clear" w:color="auto" w:fill="DCE6F2"/>
          </w:tcPr>
          <w:p>
            <w:r>
              <w:rPr>
                <w:rFonts w:ascii="Arial" w:hAnsi="Arial"/>
                <w:i w:val="0"/>
                <w:sz w:val="18"/>
              </w:rPr>
            </w:r>
          </w:p>
        </w:tc>
        <w:tc>
          <w:tcPr>
            <w:tcW w:type="dxa" w:w="3685"/>
            <w:shd w:val="clear" w:color="auto" w:fill="DCE6F2"/>
          </w:tcPr>
          <w:p>
            <w:r>
              <w:rPr>
                <w:rFonts w:ascii="Arial" w:hAnsi="Arial"/>
                <w:b/>
                <w:i w:val="0"/>
                <w:sz w:val="18"/>
              </w:rPr>
              <w:t>Option simple : régression logistique</w:t>
            </w:r>
          </w:p>
        </w:tc>
        <w:tc>
          <w:tcPr>
            <w:tcW w:type="dxa" w:w="3855"/>
            <w:shd w:val="clear" w:color="auto" w:fill="DCE6F2"/>
          </w:tcPr>
          <w:p>
            <w:r>
              <w:rPr>
                <w:rFonts w:ascii="Arial" w:hAnsi="Arial"/>
                <w:b/>
                <w:i w:val="0"/>
                <w:sz w:val="18"/>
              </w:rPr>
              <w:t>Option complexe : gradient boosting (XGBoost / LightGBM)</w:t>
            </w:r>
          </w:p>
        </w:tc>
      </w:tr>
      <w:tr>
        <w:tc>
          <w:tcPr>
            <w:tcW w:type="dxa" w:w="1814"/>
          </w:tcPr>
          <w:p>
            <w:r>
              <w:rPr>
                <w:rFonts w:ascii="Arial" w:hAnsi="Arial"/>
                <w:i w:val="0"/>
                <w:sz w:val="18"/>
              </w:rPr>
              <w:t>Principe</w:t>
            </w:r>
          </w:p>
        </w:tc>
        <w:tc>
          <w:tcPr>
            <w:tcW w:type="dxa" w:w="3685"/>
          </w:tcPr>
          <w:p>
            <w:r>
              <w:rPr>
                <w:rFonts w:ascii="Arial" w:hAnsi="Arial"/>
                <w:i w:val="0"/>
                <w:sz w:val="18"/>
              </w:rPr>
              <w:t>Combinaison linéaire pondérée des variables, transformée en probabilité (sigmoïde)</w:t>
            </w:r>
          </w:p>
        </w:tc>
        <w:tc>
          <w:tcPr>
            <w:tcW w:type="dxa" w:w="3855"/>
          </w:tcPr>
          <w:p>
            <w:r>
              <w:rPr>
                <w:rFonts w:ascii="Arial" w:hAnsi="Arial"/>
                <w:i w:val="0"/>
                <w:sz w:val="18"/>
              </w:rPr>
              <w:t>Centaines d'arbres de décision construits séquentiellement, chacun corrigeant les erreurs du précédent</w:t>
            </w:r>
          </w:p>
        </w:tc>
      </w:tr>
      <w:tr>
        <w:tc>
          <w:tcPr>
            <w:tcW w:type="dxa" w:w="1814"/>
          </w:tcPr>
          <w:p>
            <w:r>
              <w:rPr>
                <w:rFonts w:ascii="Arial" w:hAnsi="Arial"/>
                <w:i w:val="0"/>
                <w:sz w:val="18"/>
              </w:rPr>
              <w:t>Interprétabilité</w:t>
            </w:r>
          </w:p>
        </w:tc>
        <w:tc>
          <w:tcPr>
            <w:tcW w:type="dxa" w:w="3685"/>
          </w:tcPr>
          <w:p>
            <w:r>
              <w:rPr>
                <w:rFonts w:ascii="Arial" w:hAnsi="Arial"/>
                <w:i w:val="0"/>
                <w:sz w:val="18"/>
              </w:rPr>
              <w:t>Élevée : chaque coefficient se lit comme un effet sur le risque</w:t>
            </w:r>
          </w:p>
        </w:tc>
        <w:tc>
          <w:tcPr>
            <w:tcW w:type="dxa" w:w="3855"/>
          </w:tcPr>
          <w:p>
            <w:r>
              <w:rPr>
                <w:rFonts w:ascii="Arial" w:hAnsi="Arial"/>
                <w:i w:val="0"/>
                <w:sz w:val="18"/>
              </w:rPr>
              <w:t>Faible en natif, nécessite SHAP</w:t>
            </w:r>
          </w:p>
        </w:tc>
      </w:tr>
      <w:tr>
        <w:tc>
          <w:tcPr>
            <w:tcW w:type="dxa" w:w="1814"/>
          </w:tcPr>
          <w:p>
            <w:r>
              <w:rPr>
                <w:rFonts w:ascii="Arial" w:hAnsi="Arial"/>
                <w:i w:val="0"/>
                <w:sz w:val="18"/>
              </w:rPr>
              <w:t>Non-linéarités</w:t>
            </w:r>
          </w:p>
        </w:tc>
        <w:tc>
          <w:tcPr>
            <w:tcW w:type="dxa" w:w="3685"/>
          </w:tcPr>
          <w:p>
            <w:r>
              <w:rPr>
                <w:rFonts w:ascii="Arial" w:hAnsi="Arial"/>
                <w:i w:val="0"/>
                <w:sz w:val="18"/>
              </w:rPr>
              <w:t>À créer manuellement</w:t>
            </w:r>
          </w:p>
        </w:tc>
        <w:tc>
          <w:tcPr>
            <w:tcW w:type="dxa" w:w="3855"/>
          </w:tcPr>
          <w:p>
            <w:r>
              <w:rPr>
                <w:rFonts w:ascii="Arial" w:hAnsi="Arial"/>
                <w:i w:val="0"/>
                <w:sz w:val="18"/>
              </w:rPr>
              <w:t>Capturées automatiquement</w:t>
            </w:r>
          </w:p>
        </w:tc>
      </w:tr>
      <w:tr>
        <w:tc>
          <w:tcPr>
            <w:tcW w:type="dxa" w:w="1814"/>
          </w:tcPr>
          <w:p>
            <w:r>
              <w:rPr>
                <w:rFonts w:ascii="Arial" w:hAnsi="Arial"/>
                <w:i w:val="0"/>
                <w:sz w:val="18"/>
              </w:rPr>
              <w:t>Données requises</w:t>
            </w:r>
          </w:p>
        </w:tc>
        <w:tc>
          <w:tcPr>
            <w:tcW w:type="dxa" w:w="3685"/>
          </w:tcPr>
          <w:p>
            <w:r>
              <w:rPr>
                <w:rFonts w:ascii="Arial" w:hAnsi="Arial"/>
                <w:i w:val="0"/>
                <w:sz w:val="18"/>
              </w:rPr>
              <w:t>Fonctionne avec 500 lignes</w:t>
            </w:r>
          </w:p>
        </w:tc>
        <w:tc>
          <w:tcPr>
            <w:tcW w:type="dxa" w:w="3855"/>
          </w:tcPr>
          <w:p>
            <w:r>
              <w:rPr>
                <w:rFonts w:ascii="Arial" w:hAnsi="Arial"/>
                <w:i w:val="0"/>
                <w:sz w:val="18"/>
              </w:rPr>
              <w:t>Risque élevé de surapprentissage sur 500 lignes</w:t>
            </w:r>
          </w:p>
        </w:tc>
      </w:tr>
      <w:tr>
        <w:tc>
          <w:tcPr>
            <w:tcW w:type="dxa" w:w="1814"/>
          </w:tcPr>
          <w:p>
            <w:r>
              <w:rPr>
                <w:rFonts w:ascii="Arial" w:hAnsi="Arial"/>
                <w:i w:val="0"/>
                <w:sz w:val="18"/>
              </w:rPr>
              <w:t>Usage dans le secteur</w:t>
            </w:r>
          </w:p>
        </w:tc>
        <w:tc>
          <w:tcPr>
            <w:tcW w:type="dxa" w:w="3685"/>
          </w:tcPr>
          <w:p>
            <w:r>
              <w:rPr>
                <w:rFonts w:ascii="Arial" w:hAnsi="Arial"/>
                <w:i w:val="0"/>
                <w:sz w:val="18"/>
              </w:rPr>
              <w:t>Standard des scorecards de crédit réglementées</w:t>
            </w:r>
          </w:p>
        </w:tc>
        <w:tc>
          <w:tcPr>
            <w:tcW w:type="dxa" w:w="3855"/>
          </w:tcPr>
          <w:p>
            <w:r>
              <w:rPr>
                <w:rFonts w:ascii="Arial" w:hAnsi="Arial"/>
                <w:i w:val="0"/>
                <w:sz w:val="18"/>
              </w:rPr>
              <w:t>Modèle challenger, détection de fraude</w:t>
            </w:r>
          </w:p>
        </w:tc>
      </w:tr>
    </w:tbl>
    <w:p w14:paraId="0F0274EA" w14:textId="77777777" w:rsidR="004B5529" w:rsidRPr="00E31114" w:rsidRDefault="00E31114">
      <w:pPr>
        <w:spacing w:before="200"/>
        <w:rPr>
          <w:rFonts w:ascii="Arial" w:hAnsi="Arial" w:cs="Arial"/>
          <w:i w:val="0"/>
          <w:iCs w:val="0"/>
          <w:color w:val="000000" w:themeColor="text1"/>
        </w:rPr>
      </w:pPr>
      <w:r w:rsidRPr="00E31114">
        <w:rPr>
          <w:rFonts w:ascii="Arial" w:hAnsi="Arial" w:cs="Arial"/>
          <w:b/>
          <w:i w:val="0"/>
          <w:iCs w:val="0"/>
          <w:color w:val="000000" w:themeColor="text1"/>
        </w:rPr>
        <w:t xml:space="preserve">Recommandation : </w:t>
      </w:r>
      <w:r>
        <w:rPr>
          <w:rFonts w:ascii="Arial" w:hAnsi="Arial"/>
          <w:i w:val="0"/>
        </w:rPr>
        <w:t>la régression logistique pondérée comme modèle principal, avec le gradient boosting comme challenger pour vérifier qu'aucune relation non linéaire importante n'est ignorée.</w:t>
      </w:r>
    </w:p>
    <w:p w14:paraId="6C4BE02A" w14:textId="77777777" w:rsidR="004B5529" w:rsidRPr="00E31114" w:rsidRDefault="00E31114">
      <w:pPr>
        <w:pStyle w:val="IntenseQuote"/>
        <w:rPr>
          <w:rFonts w:ascii="Courier New" w:hAnsi="Courier New" w:cs="Courier New"/>
          <w:i w:val="0"/>
          <w:iCs w:val="0"/>
          <w:color w:val="000000" w:themeColor="text1"/>
        </w:rPr>
      </w:pPr>
      <w:r w:rsidRPr="00E31114">
        <w:rPr>
          <w:rFonts w:ascii="Arial" w:hAnsi="Arial" w:cs="Arial"/>
          <w:b/>
          <w:i w:val="0"/>
          <w:iCs w:val="0"/>
          <w:color w:val="000000" w:themeColor="text1"/>
        </w:rPr>
        <w:t>Flux de travail du modèle (sortie GenAI paraphrasée)</w:t>
      </w:r>
    </w:p>
    <w:p w14:paraId="6C4BE02A" w14:textId="77777777" w:rsidR="004B5529" w:rsidRPr="00E31114" w:rsidRDefault="00E31114">
      <w:pPr>
        <w:ind w:left="283"/>
        <w:rPr>
          <w:rFonts w:ascii="Courier New" w:hAnsi="Courier New" w:cs="Courier New"/>
          <w:i w:val="0"/>
          <w:iCs w:val="0"/>
          <w:color w:val="000000" w:themeColor="text1"/>
        </w:rPr>
      </w:pPr>
      <w:r w:rsidRPr="00E31114">
        <w:rPr>
          <w:rFonts w:ascii="Arial" w:hAnsi="Arial" w:cs="Arial"/>
          <w:i w:val="0"/>
          <w:iCs w:val="0"/>
          <w:color w:val="000000" w:themeColor="text1"/>
        </w:rPr>
        <w:t>1. Ingestion et validation : contrôle du schéma, des plages (utilisation 0–1,2 ; score 300–850) et de la cohérence âge/ancienneté.</w:t>
      </w:r>
    </w:p>
    <w:p w14:paraId="6C4BE02A" w14:textId="77777777" w:rsidR="004B5529" w:rsidRPr="00E31114" w:rsidRDefault="00E31114">
      <w:pPr>
        <w:ind w:left="283"/>
        <w:rPr>
          <w:rFonts w:ascii="Courier New" w:hAnsi="Courier New" w:cs="Courier New"/>
          <w:i w:val="0"/>
          <w:iCs w:val="0"/>
          <w:color w:val="000000" w:themeColor="text1"/>
        </w:rPr>
      </w:pPr>
      <w:r w:rsidRPr="00E31114">
        <w:rPr>
          <w:rFonts w:ascii="Arial" w:hAnsi="Arial" w:cs="Arial"/>
          <w:i w:val="0"/>
          <w:iCs w:val="0"/>
          <w:color w:val="000000" w:themeColor="text1"/>
        </w:rPr>
        <w:t>2. Nettoyage : normalisation d'Employment_Status, imputation médiane + indicateurs de valeur manquante (cf. EDA).</w:t>
      </w:r>
    </w:p>
    <w:p w14:paraId="6C4BE02A" w14:textId="77777777" w:rsidR="004B5529" w:rsidRPr="00E31114" w:rsidRDefault="00E31114">
      <w:pPr>
        <w:ind w:left="283"/>
        <w:rPr>
          <w:rFonts w:ascii="Courier New" w:hAnsi="Courier New" w:cs="Courier New"/>
          <w:i w:val="0"/>
          <w:iCs w:val="0"/>
          <w:color w:val="000000" w:themeColor="text1"/>
        </w:rPr>
      </w:pPr>
      <w:r w:rsidRPr="00E31114">
        <w:rPr>
          <w:rFonts w:ascii="Arial" w:hAnsi="Arial" w:cs="Arial"/>
          <w:i w:val="0"/>
          <w:iCs w:val="0"/>
          <w:color w:val="000000" w:themeColor="text1"/>
        </w:rPr>
        <w:t>3. Ingénierie des variables : Missed_6m, Late_6m, Recent_Missed (Month_6), Over_Limit, New_Account (ancienneté = 0).</w:t>
      </w:r>
    </w:p>
    <w:p w14:paraId="6C4BE02A" w14:textId="77777777" w:rsidR="004B5529" w:rsidRPr="00E31114" w:rsidRDefault="00E31114">
      <w:pPr>
        <w:ind w:left="283"/>
        <w:rPr>
          <w:rFonts w:ascii="Courier New" w:hAnsi="Courier New" w:cs="Courier New"/>
          <w:i w:val="0"/>
          <w:iCs w:val="0"/>
          <w:color w:val="000000" w:themeColor="text1"/>
        </w:rPr>
      </w:pPr>
      <w:r w:rsidRPr="00E31114">
        <w:rPr>
          <w:rFonts w:ascii="Arial" w:hAnsi="Arial" w:cs="Arial"/>
          <w:i w:val="0"/>
          <w:iCs w:val="0"/>
          <w:color w:val="000000" w:themeColor="text1"/>
        </w:rPr>
        <w:t>4. Prétraitement : standardisation des numériques, encodage one-hot des catégorielles ; Location et Age exclus (équité).</w:t>
      </w:r>
    </w:p>
    <w:p w14:paraId="6C4BE02A" w14:textId="77777777" w:rsidR="004B5529" w:rsidRPr="00E31114" w:rsidRDefault="00E31114">
      <w:pPr>
        <w:ind w:left="283"/>
        <w:rPr>
          <w:rFonts w:ascii="Courier New" w:hAnsi="Courier New" w:cs="Courier New"/>
          <w:i w:val="0"/>
          <w:iCs w:val="0"/>
          <w:color w:val="000000" w:themeColor="text1"/>
        </w:rPr>
      </w:pPr>
      <w:r w:rsidRPr="00E31114">
        <w:rPr>
          <w:rFonts w:ascii="Arial" w:hAnsi="Arial" w:cs="Arial"/>
          <w:i w:val="0"/>
          <w:iCs w:val="0"/>
          <w:color w:val="000000" w:themeColor="text1"/>
        </w:rPr>
        <w:t>5. Modèle : régression logistique pondérée (class_weight = « balanced », 16 % de délinquants).</w:t>
      </w:r>
    </w:p>
    <w:p w14:paraId="6C4BE02A" w14:textId="77777777" w:rsidR="004B5529" w:rsidRPr="00E31114" w:rsidRDefault="00E31114">
      <w:pPr>
        <w:ind w:left="283"/>
        <w:rPr>
          <w:rFonts w:ascii="Courier New" w:hAnsi="Courier New" w:cs="Courier New"/>
          <w:i w:val="0"/>
          <w:iCs w:val="0"/>
          <w:color w:val="000000" w:themeColor="text1"/>
        </w:rPr>
      </w:pPr>
      <w:r w:rsidRPr="00E31114">
        <w:rPr>
          <w:rFonts w:ascii="Arial" w:hAnsi="Arial" w:cs="Arial"/>
          <w:i w:val="0"/>
          <w:iCs w:val="0"/>
          <w:color w:val="000000" w:themeColor="text1"/>
        </w:rPr>
        <w:t>6. Sortie : probabilité de défaut → bande de risque par rang (Élevé = top 10 %, Moyen = 10–30 %) → action (aucune / rappel automatique / contact par un conseiller).</w:t>
      </w:r>
    </w:p>
    <w:p w14:paraId="6C4BE02A" w14:textId="77777777" w:rsidR="004B5529" w:rsidRPr="00E31114" w:rsidRDefault="00E31114">
      <w:pPr>
        <w:ind w:left="0"/>
        <w:rPr>
          <w:rFonts w:ascii="Courier New" w:hAnsi="Courier New" w:cs="Courier New"/>
          <w:i w:val="0"/>
          <w:iCs w:val="0"/>
          <w:color w:val="000000" w:themeColor="text1"/>
        </w:rPr>
      </w:pPr>
      <w:r w:rsidRPr="00E31114">
        <w:rPr>
          <w:rFonts w:ascii="Arial" w:hAnsi="Arial" w:cs="Arial"/>
          <w:b/>
          <w:i w:val="0"/>
          <w:iCs w:val="0"/>
          <w:color w:val="000000" w:themeColor="text1"/>
        </w:rPr>
        <w:t>Pseudocode :</w:t>
      </w:r>
    </w:p>
    <w:p w14:paraId="6C4BE02A" w14:textId="77777777" w:rsidR="004B5529" w:rsidRPr="00E31114" w:rsidRDefault="00E31114">
      <w:pPr>
        <w:spacing w:after="0"/>
        <w:ind w:left="283"/>
        <w:rPr>
          <w:rFonts w:ascii="Courier New" w:hAnsi="Courier New" w:cs="Courier New"/>
          <w:i w:val="0"/>
          <w:iCs w:val="0"/>
          <w:color w:val="000000" w:themeColor="text1"/>
        </w:rPr>
      </w:pPr>
      <w:r w:rsidRPr="00E31114">
        <w:rPr>
          <w:rFonts w:ascii="Consolas" w:hAnsi="Consolas" w:cs="Arial"/>
          <w:i w:val="0"/>
          <w:iCs w:val="0"/>
          <w:color w:val="000000" w:themeColor="text1"/>
          <w:sz w:val="17"/>
        </w:rPr>
        <w:t>CHARGER données clients ; VALIDER schéma et plages</w:t>
      </w:r>
    </w:p>
    <w:p w14:paraId="6C4BE02A" w14:textId="77777777" w:rsidR="004B5529" w:rsidRPr="00E31114" w:rsidRDefault="00E31114">
      <w:pPr>
        <w:spacing w:after="0"/>
        <w:ind w:left="283"/>
        <w:rPr>
          <w:rFonts w:ascii="Courier New" w:hAnsi="Courier New" w:cs="Courier New"/>
          <w:i w:val="0"/>
          <w:iCs w:val="0"/>
          <w:color w:val="000000" w:themeColor="text1"/>
        </w:rPr>
      </w:pPr>
      <w:r w:rsidRPr="00E31114">
        <w:rPr>
          <w:rFonts w:ascii="Consolas" w:hAnsi="Consolas" w:cs="Arial"/>
          <w:i w:val="0"/>
          <w:iCs w:val="0"/>
          <w:color w:val="000000" w:themeColor="text1"/>
          <w:sz w:val="17"/>
        </w:rPr>
        <w:t>NETTOYER : normaliser Employment_Status ; imputer Income, Loan_Balance, Credit_Score</w:t>
      </w:r>
    </w:p>
    <w:p w14:paraId="6C4BE02A" w14:textId="77777777" w:rsidR="004B5529" w:rsidRPr="00E31114" w:rsidRDefault="00E31114">
      <w:pPr>
        <w:spacing w:after="0"/>
        <w:ind w:left="283"/>
        <w:rPr>
          <w:rFonts w:ascii="Courier New" w:hAnsi="Courier New" w:cs="Courier New"/>
          <w:i w:val="0"/>
          <w:iCs w:val="0"/>
          <w:color w:val="000000" w:themeColor="text1"/>
        </w:rPr>
      </w:pPr>
      <w:r w:rsidRPr="00E31114">
        <w:rPr>
          <w:rFonts w:ascii="Consolas" w:hAnsi="Consolas" w:cs="Arial"/>
          <w:i w:val="0"/>
          <w:iCs w:val="0"/>
          <w:color w:val="000000" w:themeColor="text1"/>
          <w:sz w:val="17"/>
        </w:rPr>
        <w:t>CRÉER : Missed_6m, Late_6m, Recent_Missed, Over_Limit, New_Account</w:t>
      </w:r>
    </w:p>
    <w:p w14:paraId="6C4BE02A" w14:textId="77777777" w:rsidR="004B5529" w:rsidRPr="00E31114" w:rsidRDefault="00E31114">
      <w:pPr>
        <w:spacing w:after="0"/>
        <w:ind w:left="283"/>
        <w:rPr>
          <w:rFonts w:ascii="Courier New" w:hAnsi="Courier New" w:cs="Courier New"/>
          <w:i w:val="0"/>
          <w:iCs w:val="0"/>
          <w:color w:val="000000" w:themeColor="text1"/>
        </w:rPr>
      </w:pPr>
      <w:r w:rsidRPr="00E31114">
        <w:rPr>
          <w:rFonts w:ascii="Consolas" w:hAnsi="Consolas" w:cs="Arial"/>
          <w:i w:val="0"/>
          <w:iCs w:val="0"/>
          <w:color w:val="000000" w:themeColor="text1"/>
          <w:sz w:val="17"/>
        </w:rPr>
        <w:t>X ← historique de paiement, Credit_Utilization, Debt_to_Income_Ratio, Credit_Score, Employment_Status, ...</w:t>
      </w:r>
    </w:p>
    <w:p w14:paraId="6C4BE02A" w14:textId="77777777" w:rsidR="004B5529" w:rsidRPr="00E31114" w:rsidRDefault="00E31114">
      <w:pPr>
        <w:spacing w:after="0"/>
        <w:ind w:left="283"/>
        <w:rPr>
          <w:rFonts w:ascii="Courier New" w:hAnsi="Courier New" w:cs="Courier New"/>
          <w:i w:val="0"/>
          <w:iCs w:val="0"/>
          <w:color w:val="000000" w:themeColor="text1"/>
        </w:rPr>
      </w:pPr>
      <w:r w:rsidRPr="00E31114">
        <w:rPr>
          <w:rFonts w:ascii="Consolas" w:hAnsi="Consolas" w:cs="Arial"/>
          <w:i w:val="0"/>
          <w:iCs w:val="0"/>
          <w:color w:val="000000" w:themeColor="text1"/>
          <w:sz w:val="17"/>
        </w:rPr>
        <w:t>y ← Delinquent_Account</w:t>
      </w:r>
    </w:p>
    <w:p w14:paraId="6C4BE02A" w14:textId="77777777" w:rsidR="004B5529" w:rsidRPr="00E31114" w:rsidRDefault="00E31114">
      <w:pPr>
        <w:spacing w:after="0"/>
        <w:ind w:left="283"/>
        <w:rPr>
          <w:rFonts w:ascii="Courier New" w:hAnsi="Courier New" w:cs="Courier New"/>
          <w:i w:val="0"/>
          <w:iCs w:val="0"/>
          <w:color w:val="000000" w:themeColor="text1"/>
        </w:rPr>
      </w:pPr>
      <w:r w:rsidRPr="00E31114">
        <w:rPr>
          <w:rFonts w:ascii="Consolas" w:hAnsi="Consolas" w:cs="Arial"/>
          <w:i w:val="0"/>
          <w:iCs w:val="0"/>
          <w:color w:val="000000" w:themeColor="text1"/>
          <w:sz w:val="17"/>
        </w:rPr>
        <w:t>DIVISER entraînement 80 % / test 20 % (stratifié sur y)</w:t>
      </w:r>
    </w:p>
    <w:p w14:paraId="6C4BE02A" w14:textId="77777777" w:rsidR="004B5529" w:rsidRPr="00E31114" w:rsidRDefault="00E31114">
      <w:pPr>
        <w:spacing w:after="0"/>
        <w:ind w:left="283"/>
        <w:rPr>
          <w:rFonts w:ascii="Courier New" w:hAnsi="Courier New" w:cs="Courier New"/>
          <w:i w:val="0"/>
          <w:iCs w:val="0"/>
          <w:color w:val="000000" w:themeColor="text1"/>
        </w:rPr>
      </w:pPr>
      <w:r w:rsidRPr="00E31114">
        <w:rPr>
          <w:rFonts w:ascii="Consolas" w:hAnsi="Consolas" w:cs="Arial"/>
          <w:i w:val="0"/>
          <w:iCs w:val="0"/>
          <w:color w:val="000000" w:themeColor="text1"/>
          <w:sz w:val="17"/>
        </w:rPr>
        <w:t>PIPELINE ← Standardisation + OneHot + RégressionLogistique(poids équilibrés)</w:t>
      </w:r>
    </w:p>
    <w:p w14:paraId="6C4BE02A" w14:textId="77777777" w:rsidR="004B5529" w:rsidRPr="00E31114" w:rsidRDefault="00E31114">
      <w:pPr>
        <w:spacing w:after="0"/>
        <w:ind w:left="283"/>
        <w:rPr>
          <w:rFonts w:ascii="Courier New" w:hAnsi="Courier New" w:cs="Courier New"/>
          <w:i w:val="0"/>
          <w:iCs w:val="0"/>
          <w:color w:val="000000" w:themeColor="text1"/>
        </w:rPr>
      </w:pPr>
      <w:r w:rsidRPr="00E31114">
        <w:rPr>
          <w:rFonts w:ascii="Consolas" w:hAnsi="Consolas" w:cs="Arial"/>
          <w:i w:val="0"/>
          <w:iCs w:val="0"/>
          <w:color w:val="000000" w:themeColor="text1"/>
          <w:sz w:val="17"/>
        </w:rPr>
        <w:t>ENTRAÎNER avec validation croisée 5 plis ; CALIBRER les probabilités</w:t>
      </w:r>
    </w:p>
    <w:p w14:paraId="6C4BE02A" w14:textId="77777777" w:rsidR="004B5529" w:rsidRPr="00E31114" w:rsidRDefault="00E31114">
      <w:pPr>
        <w:spacing w:after="0"/>
        <w:ind w:left="283"/>
        <w:rPr>
          <w:rFonts w:ascii="Courier New" w:hAnsi="Courier New" w:cs="Courier New"/>
          <w:i w:val="0"/>
          <w:iCs w:val="0"/>
          <w:color w:val="000000" w:themeColor="text1"/>
        </w:rPr>
      </w:pPr>
      <w:r w:rsidRPr="00E31114">
        <w:rPr>
          <w:rFonts w:ascii="Consolas" w:hAnsi="Consolas" w:cs="Arial"/>
          <w:i w:val="0"/>
          <w:iCs w:val="0"/>
          <w:color w:val="000000" w:themeColor="text1"/>
          <w:sz w:val="17"/>
        </w:rPr>
        <w:t>POUR chaque client :</w:t>
      </w:r>
    </w:p>
    <w:p w14:paraId="6C4BE02A" w14:textId="77777777" w:rsidR="004B5529" w:rsidRPr="00E31114" w:rsidRDefault="00E31114">
      <w:pPr>
        <w:spacing w:after="0"/>
        <w:ind w:left="567"/>
        <w:rPr>
          <w:rFonts w:ascii="Courier New" w:hAnsi="Courier New" w:cs="Courier New"/>
          <w:i w:val="0"/>
          <w:iCs w:val="0"/>
          <w:color w:val="000000" w:themeColor="text1"/>
        </w:rPr>
      </w:pPr>
      <w:r w:rsidRPr="00E31114">
        <w:rPr>
          <w:rFonts w:ascii="Consolas" w:hAnsi="Consolas" w:cs="Arial"/>
          <w:i w:val="0"/>
          <w:iCs w:val="0"/>
          <w:color w:val="000000" w:themeColor="text1"/>
          <w:sz w:val="17"/>
        </w:rPr>
        <w:t>p ← probabilité de défaut</w:t>
      </w:r>
    </w:p>
    <w:p w14:paraId="6C4BE02A" w14:textId="77777777" w:rsidR="004B5529" w:rsidRPr="00E31114" w:rsidRDefault="00E31114">
      <w:pPr>
        <w:spacing w:after="0"/>
        <w:ind w:left="567"/>
        <w:rPr>
          <w:rFonts w:ascii="Courier New" w:hAnsi="Courier New" w:cs="Courier New"/>
          <w:i w:val="0"/>
          <w:iCs w:val="0"/>
          <w:color w:val="000000" w:themeColor="text1"/>
        </w:rPr>
      </w:pPr>
      <w:r w:rsidRPr="00E31114">
        <w:rPr>
          <w:rFonts w:ascii="Consolas" w:hAnsi="Consolas" w:cs="Arial"/>
          <w:i w:val="0"/>
          <w:iCs w:val="0"/>
          <w:color w:val="000000" w:themeColor="text1"/>
          <w:sz w:val="17"/>
        </w:rPr>
        <w:t>bande ← Élevé (top 10 %) | Moyen (10–30 %) | Faible</w:t>
      </w:r>
    </w:p>
    <w:p w14:paraId="6C4BE02A" w14:textId="77777777" w:rsidR="004B5529" w:rsidRPr="00E31114" w:rsidRDefault="00E31114">
      <w:pPr>
        <w:spacing w:after="0"/>
        <w:ind w:left="567"/>
        <w:rPr>
          <w:rFonts w:ascii="Courier New" w:hAnsi="Courier New" w:cs="Courier New"/>
          <w:i w:val="0"/>
          <w:iCs w:val="0"/>
          <w:color w:val="000000" w:themeColor="text1"/>
        </w:rPr>
      </w:pPr>
      <w:r w:rsidRPr="00E31114">
        <w:rPr>
          <w:rFonts w:ascii="Consolas" w:hAnsi="Consolas" w:cs="Arial"/>
          <w:i w:val="0"/>
          <w:iCs w:val="0"/>
          <w:color w:val="000000" w:themeColor="text1"/>
          <w:sz w:val="17"/>
        </w:rPr>
        <w:t>EXPLIQUER : 3 variables qui contribuent le plus (coefficient × valeur)</w:t>
      </w:r>
    </w:p>
    <w:p w14:paraId="6C4BE02A" w14:textId="77777777" w:rsidR="004B5529" w:rsidRPr="00E31114" w:rsidRDefault="00E31114">
      <w:pPr>
        <w:spacing w:after="0"/>
        <w:ind w:left="283"/>
        <w:rPr>
          <w:rFonts w:ascii="Courier New" w:hAnsi="Courier New" w:cs="Courier New"/>
          <w:i w:val="0"/>
          <w:iCs w:val="0"/>
          <w:color w:val="000000" w:themeColor="text1"/>
        </w:rPr>
      </w:pPr>
      <w:r w:rsidRPr="00E31114">
        <w:rPr>
          <w:rFonts w:ascii="Consolas" w:hAnsi="Consolas" w:cs="Arial"/>
          <w:i w:val="0"/>
          <w:iCs w:val="0"/>
          <w:color w:val="000000" w:themeColor="text1"/>
          <w:sz w:val="17"/>
        </w:rPr>
        <w:t>RETOURNER p, bande, explication</w:t>
      </w:r>
    </w:p>
    <w:p w14:paraId="6C4BE02A" w14:textId="77777777" w:rsidR="004B5529" w:rsidRPr="00E31114" w:rsidRDefault="00E31114">
      <w:pPr>
        <w:spacing w:after="120" w:before="240"/>
        <w:ind w:left="0"/>
        <w:rPr>
          <w:rFonts w:ascii="Courier New" w:hAnsi="Courier New" w:cs="Courier New"/>
          <w:i w:val="0"/>
          <w:iCs w:val="0"/>
          <w:color w:val="000000" w:themeColor="text1"/>
        </w:rPr>
      </w:pPr>
      <w:r w:rsidRPr="00E31114">
        <w:rPr>
          <w:rFonts w:ascii="Arial" w:hAnsi="Arial" w:cs="Arial"/>
          <w:b/>
          <w:i w:val="0"/>
          <w:iCs w:val="0"/>
          <w:color w:val="000000" w:themeColor="text1"/>
        </w:rPr>
        <w:t>Synthèse du modèle choisi :</w:t>
      </w:r>
    </w:p>
    <w:p w14:paraId="0F0274EA"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Une régression logistique pondérée estime la probabilité de délinquance de chaque client à partir d'une combinaison linéaire de ses caractéristiques financières et de son historique de paiement. Cette probabilité est convertie en bande de risque qui déclenche une intervention graduée, et chaque prédiction s'explique par les coefficients du modèle. Un gradient boosting sert de challenger pour détecter d'éventuelles relations non linéaires.</w:t>
      </w:r>
    </w:p>
    <w:p w14:paraId="0F0274EA" w14:textId="77777777" w:rsidR="004B5529" w:rsidRPr="00E31114" w:rsidRDefault="00E31114">
      <w:pPr>
        <w:rPr>
          <w:rFonts w:ascii="Arial" w:hAnsi="Arial" w:cs="Arial"/>
          <w:i w:val="0"/>
          <w:iCs w:val="0"/>
          <w:color w:val="000000" w:themeColor="text1"/>
        </w:rPr>
      </w:pPr>
      <w:r w:rsidRPr="00E31114">
        <w:rPr>
          <w:rFonts w:ascii="Arial" w:hAnsi="Arial" w:cs="Arial"/>
          <w:b/>
          <w:i w:val="0"/>
          <w:iCs w:val="0"/>
          <w:color w:val="000000" w:themeColor="text1"/>
        </w:rPr>
        <w:t>Les 5 principales variables d'entrée :</w:t>
      </w:r>
    </w:p>
    <w:tbl>
      <w:tblPr>
        <w:tblStyle w:val="TableGrid"/>
        <w:tblW w:type="auto" w:w="0"/>
        <w:tblLook w:firstColumn="1" w:firstRow="1" w:lastColumn="0" w:lastRow="0" w:noHBand="0" w:noVBand="1" w:val="04A0"/>
      </w:tblPr>
      <w:tblGrid>
        <w:gridCol w:w="2880"/>
        <w:gridCol w:w="2880"/>
        <w:gridCol w:w="2880"/>
      </w:tblGrid>
      <w:tr>
        <w:tc>
          <w:tcPr>
            <w:tcW w:type="dxa" w:w="454"/>
            <w:shd w:val="clear" w:color="auto" w:fill="DCE6F2"/>
          </w:tcPr>
          <w:p>
            <w:r>
              <w:rPr>
                <w:rFonts w:ascii="Arial" w:hAnsi="Arial"/>
                <w:b/>
                <w:i w:val="0"/>
                <w:sz w:val="18"/>
              </w:rPr>
              <w:t>#</w:t>
            </w:r>
          </w:p>
        </w:tc>
        <w:tc>
          <w:tcPr>
            <w:tcW w:type="dxa" w:w="3118"/>
            <w:shd w:val="clear" w:color="auto" w:fill="DCE6F2"/>
          </w:tcPr>
          <w:p>
            <w:r>
              <w:rPr>
                <w:rFonts w:ascii="Arial" w:hAnsi="Arial"/>
                <w:b/>
                <w:i w:val="0"/>
                <w:sz w:val="18"/>
              </w:rPr>
              <w:t>Variable</w:t>
            </w:r>
          </w:p>
        </w:tc>
        <w:tc>
          <w:tcPr>
            <w:tcW w:type="dxa" w:w="5783"/>
            <w:shd w:val="clear" w:color="auto" w:fill="DCE6F2"/>
          </w:tcPr>
          <w:p>
            <w:r>
              <w:rPr>
                <w:rFonts w:ascii="Arial" w:hAnsi="Arial"/>
                <w:b/>
                <w:i w:val="0"/>
                <w:sz w:val="18"/>
              </w:rPr>
              <w:t>Contribution attendue à la prédiction</w:t>
            </w:r>
          </w:p>
        </w:tc>
      </w:tr>
      <w:tr>
        <w:tc>
          <w:tcPr>
            <w:tcW w:type="dxa" w:w="454"/>
          </w:tcPr>
          <w:p>
            <w:r>
              <w:rPr>
                <w:rFonts w:ascii="Arial" w:hAnsi="Arial"/>
                <w:i w:val="0"/>
                <w:sz w:val="18"/>
              </w:rPr>
              <w:t>1</w:t>
            </w:r>
          </w:p>
        </w:tc>
        <w:tc>
          <w:tcPr>
            <w:tcW w:type="dxa" w:w="3118"/>
          </w:tcPr>
          <w:p>
            <w:r>
              <w:rPr>
                <w:rFonts w:ascii="Arial" w:hAnsi="Arial"/>
                <w:i w:val="0"/>
                <w:sz w:val="18"/>
              </w:rPr>
              <w:t>Historique de paiement (Missed_Payments, Missed_6m, Recent_Missed)</w:t>
            </w:r>
          </w:p>
        </w:tc>
        <w:tc>
          <w:tcPr>
            <w:tcW w:type="dxa" w:w="5783"/>
          </w:tcPr>
          <w:p>
            <w:r>
              <w:rPr>
                <w:rFonts w:ascii="Arial" w:hAnsi="Arial"/>
                <w:i w:val="0"/>
                <w:sz w:val="18"/>
              </w:rPr>
              <w:t>Premier prédicteur du risque de crédit : les retards passés et récents annoncent les défauts futurs. À fiabiliser (incohérence relevée dans l'EDA).</w:t>
            </w:r>
          </w:p>
        </w:tc>
      </w:tr>
      <w:tr>
        <w:tc>
          <w:tcPr>
            <w:tcW w:type="dxa" w:w="454"/>
          </w:tcPr>
          <w:p>
            <w:r>
              <w:rPr>
                <w:rFonts w:ascii="Arial" w:hAnsi="Arial"/>
                <w:i w:val="0"/>
                <w:sz w:val="18"/>
              </w:rPr>
              <w:t>2</w:t>
            </w:r>
          </w:p>
        </w:tc>
        <w:tc>
          <w:tcPr>
            <w:tcW w:type="dxa" w:w="3118"/>
          </w:tcPr>
          <w:p>
            <w:r>
              <w:rPr>
                <w:rFonts w:ascii="Arial" w:hAnsi="Arial"/>
                <w:i w:val="0"/>
                <w:sz w:val="18"/>
              </w:rPr>
              <w:t>Credit_Utilization (+ Over_Limit)</w:t>
            </w:r>
          </w:p>
        </w:tc>
        <w:tc>
          <w:tcPr>
            <w:tcW w:type="dxa" w:w="5783"/>
          </w:tcPr>
          <w:p>
            <w:r>
              <w:rPr>
                <w:rFonts w:ascii="Arial" w:hAnsi="Arial"/>
                <w:i w:val="0"/>
                <w:sz w:val="18"/>
              </w:rPr>
              <w:t>Une utilisation élevée ou un dépassement de limite signale une tension de trésorerie.</w:t>
            </w:r>
          </w:p>
        </w:tc>
      </w:tr>
      <w:tr>
        <w:tc>
          <w:tcPr>
            <w:tcW w:type="dxa" w:w="454"/>
          </w:tcPr>
          <w:p>
            <w:r>
              <w:rPr>
                <w:rFonts w:ascii="Arial" w:hAnsi="Arial"/>
                <w:i w:val="0"/>
                <w:sz w:val="18"/>
              </w:rPr>
              <w:t>3</w:t>
            </w:r>
          </w:p>
        </w:tc>
        <w:tc>
          <w:tcPr>
            <w:tcW w:type="dxa" w:w="3118"/>
          </w:tcPr>
          <w:p>
            <w:r>
              <w:rPr>
                <w:rFonts w:ascii="Arial" w:hAnsi="Arial"/>
                <w:i w:val="0"/>
                <w:sz w:val="18"/>
              </w:rPr>
              <w:t>Debt_to_Income_Ratio</w:t>
            </w:r>
          </w:p>
        </w:tc>
        <w:tc>
          <w:tcPr>
            <w:tcW w:type="dxa" w:w="5783"/>
          </w:tcPr>
          <w:p>
            <w:r>
              <w:rPr>
                <w:rFonts w:ascii="Arial" w:hAnsi="Arial"/>
                <w:i w:val="0"/>
                <w:sz w:val="18"/>
              </w:rPr>
              <w:t>Mesure la capacité de remboursement : plus le ratio est élevé, moins le client a de marge.</w:t>
            </w:r>
          </w:p>
        </w:tc>
      </w:tr>
      <w:tr>
        <w:tc>
          <w:tcPr>
            <w:tcW w:type="dxa" w:w="454"/>
          </w:tcPr>
          <w:p>
            <w:r>
              <w:rPr>
                <w:rFonts w:ascii="Arial" w:hAnsi="Arial"/>
                <w:i w:val="0"/>
                <w:sz w:val="18"/>
              </w:rPr>
              <w:t>4</w:t>
            </w:r>
          </w:p>
        </w:tc>
        <w:tc>
          <w:tcPr>
            <w:tcW w:type="dxa" w:w="3118"/>
          </w:tcPr>
          <w:p>
            <w:r>
              <w:rPr>
                <w:rFonts w:ascii="Arial" w:hAnsi="Arial"/>
                <w:i w:val="0"/>
                <w:sz w:val="18"/>
              </w:rPr>
              <w:t>Credit_Score</w:t>
            </w:r>
          </w:p>
        </w:tc>
        <w:tc>
          <w:tcPr>
            <w:tcW w:type="dxa" w:w="5783"/>
          </w:tcPr>
          <w:p>
            <w:r>
              <w:rPr>
                <w:rFonts w:ascii="Arial" w:hAnsi="Arial"/>
                <w:i w:val="0"/>
                <w:sz w:val="18"/>
              </w:rPr>
              <w:t>Synthèse externe de la solvabilité, standard dans les modèles de crédit.</w:t>
            </w:r>
          </w:p>
        </w:tc>
      </w:tr>
      <w:tr>
        <w:tc>
          <w:tcPr>
            <w:tcW w:type="dxa" w:w="454"/>
          </w:tcPr>
          <w:p>
            <w:r>
              <w:rPr>
                <w:rFonts w:ascii="Arial" w:hAnsi="Arial"/>
                <w:i w:val="0"/>
                <w:sz w:val="18"/>
              </w:rPr>
              <w:t>5</w:t>
            </w:r>
          </w:p>
        </w:tc>
        <w:tc>
          <w:tcPr>
            <w:tcW w:type="dxa" w:w="3118"/>
          </w:tcPr>
          <w:p>
            <w:r>
              <w:rPr>
                <w:rFonts w:ascii="Arial" w:hAnsi="Arial"/>
                <w:i w:val="0"/>
                <w:sz w:val="18"/>
              </w:rPr>
              <w:t>Employment_Status</w:t>
            </w:r>
          </w:p>
        </w:tc>
        <w:tc>
          <w:tcPr>
            <w:tcW w:type="dxa" w:w="5783"/>
          </w:tcPr>
          <w:p>
            <w:r>
              <w:rPr>
                <w:rFonts w:ascii="Arial" w:hAnsi="Arial"/>
                <w:i w:val="0"/>
                <w:sz w:val="18"/>
              </w:rPr>
              <w:t>La stabilité des revenus influence la capacité à payer (19,4 % de délinquance chez les chômeurs).</w:t>
            </w:r>
          </w:p>
        </w:tc>
      </w:tr>
    </w:tbl>
    <w:p w14:paraId="0F0274EA" w14:textId="77777777" w:rsidR="004B5529" w:rsidRPr="00E31114" w:rsidRDefault="00E31114">
      <w:pPr>
        <w:spacing w:before="200"/>
        <w:rPr>
          <w:rFonts w:ascii="Arial" w:hAnsi="Arial" w:cs="Arial"/>
          <w:i w:val="0"/>
          <w:iCs w:val="0"/>
          <w:color w:val="000000" w:themeColor="text1"/>
        </w:rPr>
      </w:pPr>
      <w:r w:rsidRPr="00E31114">
        <w:rPr>
          <w:rFonts w:ascii="Arial" w:hAnsi="Arial" w:cs="Arial"/>
          <w:b/>
          <w:i w:val="0"/>
          <w:iCs w:val="0"/>
          <w:color w:val="000000" w:themeColor="text1"/>
        </w:rPr>
        <w:t xml:space="preserve">Variables secondaires : </w:t>
      </w:r>
      <w:r>
        <w:rPr>
          <w:rFonts w:ascii="Arial" w:hAnsi="Arial"/>
          <w:i w:val="0"/>
        </w:rPr>
        <w:t>Account_Tenure / New_Account (28,6 % de délinquance pour les comptes de moins d'un an), Credit_Card_Type, Income, Loan_Balance.</w:t>
      </w:r>
    </w:p>
    <w:p w14:paraId="0F0274EA" w14:textId="77777777" w:rsidR="004B5529" w:rsidRPr="00E31114" w:rsidRDefault="00E31114">
      <w:pPr>
        <w:spacing w:before="200"/>
        <w:rPr>
          <w:rFonts w:ascii="Arial" w:hAnsi="Arial" w:cs="Arial"/>
          <w:i w:val="0"/>
          <w:iCs w:val="0"/>
          <w:color w:val="000000" w:themeColor="text1"/>
        </w:rPr>
      </w:pPr>
      <w:r w:rsidRPr="00E31114">
        <w:rPr>
          <w:rFonts w:ascii="Arial" w:hAnsi="Arial" w:cs="Arial"/>
          <w:b/>
          <w:i w:val="0"/>
          <w:iCs w:val="0"/>
          <w:color w:val="000000" w:themeColor="text1"/>
        </w:rPr>
        <w:t xml:space="preserve">Variables exclues : </w:t>
      </w:r>
      <w:r>
        <w:rPr>
          <w:rFonts w:ascii="Arial" w:hAnsi="Arial"/>
          <w:i w:val="0"/>
        </w:rPr>
        <w:t>Location et Age, pour éviter une discrimination géographique ou liée à l'âge. Elles sont réservées aux contrôles d'équité.</w:t>
      </w:r>
    </w:p>
    <w:p w14:paraId="0F0274EA" w14:textId="77777777" w:rsidR="004B5529" w:rsidRPr="00E31114" w:rsidRDefault="00E31114">
      <w:pPr>
        <w:spacing w:before="200"/>
        <w:rPr>
          <w:rFonts w:ascii="Arial" w:hAnsi="Arial" w:cs="Arial"/>
          <w:i w:val="0"/>
          <w:iCs w:val="0"/>
          <w:color w:val="000000" w:themeColor="text1"/>
        </w:rPr>
      </w:pPr>
      <w:r w:rsidRPr="00E31114">
        <w:rPr>
          <w:rFonts w:ascii="Arial" w:hAnsi="Arial" w:cs="Arial"/>
          <w:b/>
          <w:i w:val="0"/>
          <w:iCs w:val="0"/>
          <w:color w:val="000000" w:themeColor="text1"/>
        </w:rPr>
        <w:t xml:space="preserve">Point d'attention : </w:t>
      </w:r>
      <w:r>
        <w:rPr>
          <w:rFonts w:ascii="Arial" w:hAnsi="Arial"/>
          <w:i w:val="0"/>
        </w:rPr>
        <w:t>appliqué au jeu actuel, le pipeline reproduit les relations inversées constatées dans l'EDA (des clients avec 6 paiements manqués classés « Faible »). La logique est valable, mais le modèle ne doit pas être déployé avant la fiabilisation des données par Geldium.</w:t>
      </w: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du choix du modèle</w:t>
      </w:r>
    </w:p>
    <w:p w14:paraId="780DB871"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Pourquoi ce type de modèle ? Critères considérés : précision, transparence, facilité de mise en œuvre, pertinence pour la prédiction financière et adéquation aux besoins de Geldium.</w:t>
      </w:r>
    </w:p>
    <w:p w14:paraId="4169BF63"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[À compléter à l'étape 2]</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Stratégie d'évaluation</w:t>
      </w:r>
    </w:p>
    <w:p w14:paraId="7D9A8D63"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Comment évaluer la performance du modèle : métriques utilisées et interprétation, détection et réduction des biais, considérations éthiques liées aux prédictions sur le comportement financier des clients.</w:t>
      </w:r>
    </w:p>
    <w:p w14:paraId="2D2F0295" w14:textId="6D40A0EA"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[À compléter à l'étape 3]</w:t>
      </w: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3FDF" w14:textId="77777777" w:rsidR="00E31114" w:rsidRDefault="00E31114" w:rsidP="00E31114">
      <w:pPr>
        <w:spacing w:after="0" w:line="240" w:lineRule="auto"/>
      </w:pPr>
      <w:r>
        <w:separator/>
      </w:r>
    </w:p>
  </w:endnote>
  <w:endnote w:type="continuationSeparator" w:id="0">
    <w:p w14:paraId="45D9DEED" w14:textId="77777777" w:rsidR="00E31114" w:rsidRDefault="00E31114"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222F" w14:textId="77777777" w:rsidR="00E31114" w:rsidRDefault="00E31114" w:rsidP="00E31114">
      <w:pPr>
        <w:spacing w:after="0" w:line="240" w:lineRule="auto"/>
      </w:pPr>
      <w:r>
        <w:separator/>
      </w:r>
    </w:p>
  </w:footnote>
  <w:footnote w:type="continuationSeparator" w:id="0">
    <w:p w14:paraId="5357F110" w14:textId="77777777" w:rsidR="00E31114" w:rsidRDefault="00E31114"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529"/>
    <w:rsid w:val="008237CA"/>
    <w:rsid w:val="00AA1D8D"/>
    <w:rsid w:val="00B47730"/>
    <w:rsid w:val="00CB0664"/>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Tammy</cp:lastModifiedBy>
  <cp:revision>2</cp:revision>
  <dcterms:created xsi:type="dcterms:W3CDTF">2013-12-23T23:15:00Z</dcterms:created>
  <dcterms:modified xsi:type="dcterms:W3CDTF">2025-03-21T17:26:00Z</dcterms:modified>
  <cp:category/>
</cp:coreProperties>
</file>