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3A6" w14:textId="77777777" w:rsidR="007D72C2" w:rsidRPr="00A537D1" w:rsidRDefault="00A537D1">
      <w:pPr>
        <w:pStyle w:val="Title"/>
        <w:jc w:val="center"/>
        <w:rPr>
          <w:rFonts w:ascii="Arial" w:hAnsi="Arial" w:cs="Arial"/>
          <w:color w:val="000000" w:themeColor="text1"/>
        </w:rPr>
      </w:pPr>
      <w:r w:rsidRPr="00A537D1">
        <w:rPr>
          <w:rFonts w:ascii="Arial" w:hAnsi="Arial" w:cs="Arial"/>
          <w:color w:val="000000" w:themeColor="text1"/>
          <w:sz w:val="44"/>
        </w:rPr>
        <w:t>Rapport métier : insights prédictifs pour la stratégie de recouvrement</w:t>
      </w:r>
    </w:p>
    <w:p w14:paraId="2F4337BF" w14:textId="77777777" w:rsidR="007D72C2" w:rsidRPr="00A537D1" w:rsidRDefault="00A537D1">
      <w:pPr>
        <w:pStyle w:val="Heading1"/>
        <w:rPr>
          <w:rFonts w:ascii="Arial" w:hAnsi="Arial" w:cs="Arial"/>
          <w:color w:val="000000" w:themeColor="text1"/>
        </w:rPr>
      </w:pPr>
      <w:r w:rsidRPr="00A537D1">
        <w:rPr>
          <w:rFonts w:ascii="Arial" w:hAnsi="Arial" w:cs="Arial"/>
          <w:color w:val="000000" w:themeColor="text1"/>
        </w:rPr>
        <w:t>1. Résumé des insights prédictifs</w:t>
      </w:r>
    </w:p>
    <w:p w14:paraId="40BE55F5" w14:textId="77777777" w:rsidR="007D72C2" w:rsidRPr="00A537D1" w:rsidRDefault="00A537D1">
      <w:pPr>
        <w:rPr>
          <w:rFonts w:ascii="Arial" w:hAnsi="Arial" w:cs="Arial"/>
          <w:color w:val="000000" w:themeColor="text1"/>
        </w:rPr>
      </w:pPr>
      <w:r w:rsidRPr="00A537D1">
        <w:rPr>
          <w:rFonts w:ascii="Arial" w:hAnsi="Arial" w:cs="Arial"/>
          <w:color w:val="000000" w:themeColor="text1"/>
        </w:rPr>
        <w:t>L'analyse des 500 comptes de Geldium (16 % en défaut de paiement) fait ressortir trois facteurs de risque. Les écarts sont réels mais modérés : ce sont des pistes à tester sur le terrain, pas des certitudes.</w:t>
      </w:r>
    </w:p>
    <w:p w14:paraId="40BE55F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Comptes de moins d'un an : </w:t>
      </w:r>
      <w:r>
        <w:rPr>
          <w:rFonts w:ascii="Arial" w:hAnsi="Arial"/>
        </w:rPr>
        <w:t>28,6 % de défaut, soit 1,8 fois la moyenne. Le premier cycle d'échéances est la période la plus fragile.</w:t>
      </w:r>
    </w:p>
    <w:p w14:paraId="40BE55F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Revenus instables : </w:t>
      </w:r>
      <w:r>
        <w:rPr>
          <w:rFonts w:ascii="Arial" w:hAnsi="Arial"/>
        </w:rPr>
        <w:t>les clients sans emploi (19,4 %) et les titulaires de carte Business (21,3 %), souvent indépendants. Le cumul des deux atteint 33 %.</w:t>
      </w:r>
    </w:p>
    <w:p w14:paraId="40BE55F5" w14:textId="77777777" w:rsidR="007D72C2" w:rsidRPr="00A537D1" w:rsidRDefault="00A537D1">
      <w:pPr>
        <w:pStyle w:val="ListBullet"/>
        <w:rPr>
          <w:rFonts w:ascii="Arial" w:hAnsi="Arial" w:cs="Arial"/>
          <w:color w:val="000000" w:themeColor="text1"/>
        </w:rPr>
      </w:pPr>
      <w:r w:rsidRPr="00A537D1">
        <w:rPr>
          <w:rFonts w:ascii="Arial" w:hAnsi="Arial" w:cs="Arial"/>
          <w:b/>
          <w:color w:val="000000" w:themeColor="text1"/>
        </w:rPr>
        <w:t xml:space="preserve">Endettement élevé : </w:t>
      </w:r>
      <w:r>
        <w:rPr>
          <w:rFonts w:ascii="Arial" w:hAnsi="Arial"/>
        </w:rPr>
        <w:t>un ratio dette/revenu supérieur à 0,4 porte le défaut à 18,9 %, car la marge de remboursement est réduite.</w:t>
      </w:r>
    </w:p>
    <w:p w14:paraId="40BE55F5" w14:textId="77777777" w:rsidR="007D72C2" w:rsidRPr="00A537D1" w:rsidRDefault="00A537D1">
      <w:pPr>
        <w:spacing w:before="80"/>
        <w:rPr>
          <w:rFonts w:ascii="Arial" w:hAnsi="Arial" w:cs="Arial"/>
          <w:color w:val="000000" w:themeColor="text1"/>
        </w:rPr>
      </w:pPr>
      <w:r w:rsidRPr="00A537D1">
        <w:rPr>
          <w:rFonts w:ascii="Arial" w:hAnsi="Arial" w:cs="Arial"/>
          <w:b/>
          <w:color w:val="000000" w:themeColor="text1"/>
        </w:rPr>
        <w:t xml:space="preserve">À noter : </w:t>
      </w:r>
      <w:r>
        <w:rPr>
          <w:rFonts w:ascii="Arial" w:hAnsi="Arial"/>
        </w:rPr>
        <w:t>l'utilisation du crédit et les paiements manqués, habituellement les deux premiers prédicteurs, n'ont aucun effet visible, car l'historique de paiement est incohérent dans les données. Le modèle prédictif (AUC 0,49) ne doit donc pas encore servir à cibler des clients individuellement.</w:t>
      </w:r>
    </w:p>
    <w:p w14:paraId="60F471FE" w14:textId="77777777" w:rsidR="007D72C2" w:rsidRDefault="00A537D1">
      <w:pPr>
        <w:rPr>
          <w:rFonts w:ascii="Arial" w:hAnsi="Arial" w:cs="Arial"/>
          <w:color w:val="000000" w:themeColor="text1"/>
        </w:rPr>
      </w:pPr>
      <w:r w:rsidRPr="00A537D1">
        <w:rPr>
          <w:rFonts w:ascii="Arial" w:hAnsi="Arial" w:cs="Arial"/>
          <w:b/>
          <w:color w:val="000000" w:themeColor="text1"/>
        </w:rPr>
        <w:t>Tableau de synthèse des insights clés</w:t>
      </w:r>
    </w:p>
    <w:tbl>
      <w:tblPr>
        <w:tblW w:w="5000" w:type="pct"/>
        <w:tblCellMar>
          <w:left w:w="30" w:type="dxa"/>
          <w:right w:w="30" w:type="dxa"/>
        </w:tblCellMar>
        <w:tblLook w:val="0000" w:firstRow="0" w:lastRow="0" w:firstColumn="0" w:lastColumn="0" w:noHBand="0" w:noVBand="0"/>
      </w:tblPr>
      <w:tblGrid>
        <w:gridCol w:w="2041"/>
        <w:gridCol w:w="2494"/>
        <w:gridCol w:w="2041"/>
        <w:gridCol w:w="2211"/>
      </w:tblGrid>
      <w:tr w:rsidR="00A537D1" w:rsidRPr="00A537D1" w14:paraId="36311A05"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shd w:val="clear" w:color="auto" w:fill="DCE6F2"/>
          </w:tcPr>
          <w:p w14:paraId="0CD6A7E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Insight clé</w:t>
            </w:r>
          </w:p>
        </w:tc>
        <w:tc>
          <w:tcPr>
            <w:tcW w:w="2494" w:type="dxa"/>
            <w:tcBorders>
              <w:top w:val="single" w:sz="6" w:space="0" w:color="auto"/>
              <w:left w:val="single" w:sz="6" w:space="0" w:color="auto"/>
              <w:bottom w:val="single" w:sz="6" w:space="0" w:color="auto"/>
              <w:right w:val="single" w:sz="6" w:space="0" w:color="auto"/>
            </w:tcBorders>
            <w:shd w:val="clear" w:color="auto" w:fill="DCE6F2"/>
          </w:tcPr>
          <w:p w14:paraId="21F469F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Segment de clients</w:t>
            </w:r>
          </w:p>
        </w:tc>
        <w:tc>
          <w:tcPr>
            <w:tcW w:w="2041" w:type="dxa"/>
            <w:tcBorders>
              <w:top w:val="single" w:sz="6" w:space="0" w:color="auto"/>
              <w:left w:val="single" w:sz="6" w:space="0" w:color="auto"/>
              <w:bottom w:val="single" w:sz="6" w:space="0" w:color="auto"/>
              <w:right w:val="single" w:sz="6" w:space="0" w:color="auto"/>
            </w:tcBorders>
            <w:shd w:val="clear" w:color="auto" w:fill="DCE6F2"/>
          </w:tcPr>
          <w:p w14:paraId="3891034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Variables</w:t>
            </w:r>
          </w:p>
        </w:tc>
        <w:tc>
          <w:tcPr>
            <w:tcW w:w="2211" w:type="dxa"/>
            <w:tcBorders>
              <w:top w:val="single" w:sz="6" w:space="0" w:color="auto"/>
              <w:left w:val="single" w:sz="6" w:space="0" w:color="auto"/>
              <w:bottom w:val="single" w:sz="6" w:space="0" w:color="auto"/>
              <w:right w:val="single" w:sz="6" w:space="0" w:color="auto"/>
            </w:tcBorders>
            <w:shd w:val="clear" w:color="auto" w:fill="DCE6F2"/>
          </w:tcPr>
          <w:p w14:paraId="2E380553"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b/>
                <w:color w:val="000000" w:themeColor="text1"/>
                <w:sz w:val="17"/>
                <w:szCs w:val="20"/>
                <w:lang w:val="en-GB"/>
              </w:rPr>
              <w:t>Impact potentiel</w:t>
            </w:r>
          </w:p>
        </w:tc>
      </w:tr>
      <w:tr w:rsidR="00A537D1" w:rsidRPr="00A537D1" w14:paraId="4217145F"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tcPr>
          <w:p w14:paraId="14BFF5A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Risque maximal en début de relation</w:t>
            </w:r>
          </w:p>
        </w:tc>
        <w:tc>
          <w:tcPr>
            <w:tcW w:w="2494" w:type="dxa"/>
            <w:tcBorders>
              <w:top w:val="single" w:sz="6" w:space="0" w:color="auto"/>
              <w:left w:val="single" w:sz="6" w:space="0" w:color="auto"/>
              <w:bottom w:val="single" w:sz="6" w:space="0" w:color="auto"/>
              <w:right w:val="single" w:sz="6" w:space="0" w:color="auto"/>
            </w:tcBorders>
          </w:tcPr>
          <w:p w14:paraId="233EE3B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Comptes de moins d'un an (28 clients, 28,6 %)</w:t>
            </w:r>
          </w:p>
        </w:tc>
        <w:tc>
          <w:tcPr>
            <w:tcW w:w="2041" w:type="dxa"/>
            <w:tcBorders>
              <w:top w:val="single" w:sz="6" w:space="0" w:color="auto"/>
              <w:left w:val="single" w:sz="6" w:space="0" w:color="auto"/>
              <w:bottom w:val="single" w:sz="6" w:space="0" w:color="auto"/>
              <w:right w:val="single" w:sz="6" w:space="0" w:color="auto"/>
            </w:tcBorders>
          </w:tcPr>
          <w:p w14:paraId="3EB31FED"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Account_Tenure</w:t>
            </w:r>
          </w:p>
        </w:tc>
        <w:tc>
          <w:tcPr>
            <w:tcW w:w="2211" w:type="dxa"/>
            <w:tcBorders>
              <w:top w:val="single" w:sz="6" w:space="0" w:color="auto"/>
              <w:left w:val="single" w:sz="6" w:space="0" w:color="auto"/>
              <w:bottom w:val="single" w:sz="6" w:space="0" w:color="auto"/>
              <w:right w:val="single" w:sz="6" w:space="0" w:color="auto"/>
            </w:tcBorders>
          </w:tcPr>
          <w:p w14:paraId="78DC9A44"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Accompagnement renforcé des 12 premiers mois</w:t>
            </w:r>
          </w:p>
        </w:tc>
      </w:tr>
      <w:tr w:rsidR="00A537D1" w:rsidRPr="00A537D1" w14:paraId="4217145F"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tcPr>
          <w:p w14:paraId="14BFF5A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Revenus irréguliers = paiements irréguliers</w:t>
            </w:r>
          </w:p>
        </w:tc>
        <w:tc>
          <w:tcPr>
            <w:tcW w:w="2494" w:type="dxa"/>
            <w:tcBorders>
              <w:top w:val="single" w:sz="6" w:space="0" w:color="auto"/>
              <w:left w:val="single" w:sz="6" w:space="0" w:color="auto"/>
              <w:bottom w:val="single" w:sz="6" w:space="0" w:color="auto"/>
              <w:right w:val="single" w:sz="6" w:space="0" w:color="auto"/>
            </w:tcBorders>
          </w:tcPr>
          <w:p w14:paraId="233EE3B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Sans emploi et cartes Business (jusqu'à 33 %)</w:t>
            </w:r>
          </w:p>
        </w:tc>
        <w:tc>
          <w:tcPr>
            <w:tcW w:w="2041" w:type="dxa"/>
            <w:tcBorders>
              <w:top w:val="single" w:sz="6" w:space="0" w:color="auto"/>
              <w:left w:val="single" w:sz="6" w:space="0" w:color="auto"/>
              <w:bottom w:val="single" w:sz="6" w:space="0" w:color="auto"/>
              <w:right w:val="single" w:sz="6" w:space="0" w:color="auto"/>
            </w:tcBorders>
          </w:tcPr>
          <w:p w14:paraId="3EB31FED"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Employment_Status, Credit_Card_Type</w:t>
            </w:r>
          </w:p>
        </w:tc>
        <w:tc>
          <w:tcPr>
            <w:tcW w:w="2211" w:type="dxa"/>
            <w:tcBorders>
              <w:top w:val="single" w:sz="6" w:space="0" w:color="auto"/>
              <w:left w:val="single" w:sz="6" w:space="0" w:color="auto"/>
              <w:bottom w:val="single" w:sz="6" w:space="0" w:color="auto"/>
              <w:right w:val="single" w:sz="6" w:space="0" w:color="auto"/>
            </w:tcBorders>
          </w:tcPr>
          <w:p w14:paraId="78DC9A44"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Plans de paiement flexibles, échéances adaptées</w:t>
            </w:r>
          </w:p>
        </w:tc>
      </w:tr>
      <w:tr w:rsidR="00A537D1" w:rsidRPr="00A537D1" w14:paraId="4217145F" w14:textId="77777777" w:rsidTr="00A537D1">
        <w:tblPrEx>
          <w:tblCellMar>
            <w:top w:w="0" w:type="dxa"/>
            <w:bottom w:w="0" w:type="dxa"/>
          </w:tblCellMar>
        </w:tblPrEx>
        <w:trPr/>
        <w:tc>
          <w:tcPr>
            <w:tcW w:w="2041" w:type="dxa"/>
            <w:tcBorders>
              <w:top w:val="single" w:sz="6" w:space="0" w:color="auto"/>
              <w:left w:val="single" w:sz="6" w:space="0" w:color="auto"/>
              <w:bottom w:val="single" w:sz="6" w:space="0" w:color="auto"/>
              <w:right w:val="single" w:sz="6" w:space="0" w:color="auto"/>
            </w:tcBorders>
          </w:tcPr>
          <w:p w14:paraId="14BFF5A1"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Peu de marge de remboursement</w:t>
            </w:r>
          </w:p>
        </w:tc>
        <w:tc>
          <w:tcPr>
            <w:tcW w:w="2494" w:type="dxa"/>
            <w:tcBorders>
              <w:top w:val="single" w:sz="6" w:space="0" w:color="auto"/>
              <w:left w:val="single" w:sz="6" w:space="0" w:color="auto"/>
              <w:bottom w:val="single" w:sz="6" w:space="0" w:color="auto"/>
              <w:right w:val="single" w:sz="6" w:space="0" w:color="auto"/>
            </w:tcBorders>
          </w:tcPr>
          <w:p w14:paraId="233EE3BA"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Ratio dette/revenu &gt; 0,4 (74 clients, 18,9 %)</w:t>
            </w:r>
          </w:p>
        </w:tc>
        <w:tc>
          <w:tcPr>
            <w:tcW w:w="2041" w:type="dxa"/>
            <w:tcBorders>
              <w:top w:val="single" w:sz="6" w:space="0" w:color="auto"/>
              <w:left w:val="single" w:sz="6" w:space="0" w:color="auto"/>
              <w:bottom w:val="single" w:sz="6" w:space="0" w:color="auto"/>
              <w:right w:val="single" w:sz="6" w:space="0" w:color="auto"/>
            </w:tcBorders>
          </w:tcPr>
          <w:p w14:paraId="3EB31FED"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Debt_to_Income_Ratio, Income</w:t>
            </w:r>
          </w:p>
        </w:tc>
        <w:tc>
          <w:tcPr>
            <w:tcW w:w="2211" w:type="dxa"/>
            <w:tcBorders>
              <w:top w:val="single" w:sz="6" w:space="0" w:color="auto"/>
              <w:left w:val="single" w:sz="6" w:space="0" w:color="auto"/>
              <w:bottom w:val="single" w:sz="6" w:space="0" w:color="auto"/>
              <w:right w:val="single" w:sz="6" w:space="0" w:color="auto"/>
            </w:tcBorders>
          </w:tcPr>
          <w:p w14:paraId="78DC9A44" w14:textId="77777777" w:rsidR="00A537D1" w:rsidRPr="00A537D1" w:rsidRDefault="00A537D1" w:rsidP="00A537D1">
            <w:pPr>
              <w:spacing w:after="0" w:before="0"/>
              <w:rPr>
                <w:rFonts w:ascii="Arial" w:hAnsi="Arial" w:cs="Arial"/>
                <w:color w:val="000000" w:themeColor="text1"/>
                <w:sz w:val="20"/>
                <w:szCs w:val="20"/>
                <w:lang w:val="en-GB"/>
              </w:rPr>
            </w:pPr>
            <w:r w:rsidRPr="00A537D1">
              <w:rPr>
                <w:rFonts w:ascii="Arial" w:hAnsi="Arial" w:cs="Arial"/>
                <w:i w:val="0"/>
                <w:color w:val="000000" w:themeColor="text1"/>
                <w:sz w:val="17"/>
                <w:szCs w:val="20"/>
                <w:lang w:val="en-GB"/>
              </w:rPr>
              <w:t>Contact préventif avant la hausse d'encours</w:t>
            </w:r>
          </w:p>
        </w:tc>
      </w:tr>
    </w:tbl>
    <w:p w14:paraId="50978634" w14:textId="77777777" w:rsidR="00A537D1" w:rsidRPr="00A537D1" w:rsidRDefault="00A537D1">
      <w:pPr>
        <w:rPr>
          <w:rFonts w:ascii="Arial" w:hAnsi="Arial" w:cs="Arial"/>
          <w:color w:val="000000" w:themeColor="text1"/>
        </w:rPr>
      </w:pPr>
    </w:p>
    <w:p w14:paraId="72833B3F" w14:textId="77777777" w:rsidR="007D72C2" w:rsidRPr="00A537D1" w:rsidRDefault="00A537D1">
      <w:pPr>
        <w:pStyle w:val="Heading1"/>
        <w:rPr>
          <w:rFonts w:ascii="Arial" w:hAnsi="Arial" w:cs="Arial"/>
          <w:color w:val="000000" w:themeColor="text1"/>
        </w:rPr>
      </w:pPr>
      <w:r w:rsidRPr="00A537D1">
        <w:rPr>
          <w:rFonts w:ascii="Arial" w:hAnsi="Arial" w:cs="Arial"/>
          <w:color w:val="000000" w:themeColor="text1"/>
        </w:rPr>
        <w:t>2. Cadre de recommandation</w:t>
      </w:r>
    </w:p>
    <w:p w14:paraId="2F84D53A" w14:textId="77777777" w:rsidR="007D72C2" w:rsidRPr="00A537D1" w:rsidRDefault="00A537D1">
      <w:pPr>
        <w:rPr>
          <w:rFonts w:ascii="Arial" w:hAnsi="Arial" w:cs="Arial"/>
          <w:color w:val="000000" w:themeColor="text1"/>
        </w:rPr>
      </w:pPr>
      <w:r w:rsidRPr="00A537D1">
        <w:rPr>
          <w:rFonts w:ascii="Arial" w:hAnsi="Arial" w:cs="Arial"/>
          <w:color w:val="000000" w:themeColor="text1"/>
        </w:rPr>
        <w:t>Based on one of your model’s insights, outline your recommended intervention. Your recommendation should follow a SMART approach (Specific, Measurable, Actionable, Relevant, Time-bound).</w:t>
      </w:r>
    </w:p>
    <w:p w14:paraId="15F4D6C8" w14:textId="77777777" w:rsidR="007D72C2" w:rsidRPr="00A537D1" w:rsidRDefault="00A537D1">
      <w:pPr>
        <w:rPr>
          <w:rFonts w:ascii="Arial" w:hAnsi="Arial" w:cs="Arial"/>
          <w:color w:val="000000" w:themeColor="text1"/>
        </w:rPr>
      </w:pPr>
      <w:r w:rsidRPr="00A537D1">
        <w:rPr>
          <w:rFonts w:ascii="Arial" w:hAnsi="Arial" w:cs="Arial"/>
          <w:color w:val="000000" w:themeColor="text1"/>
        </w:rPr>
        <w:t>Use the following subheadings to guide your structure:</w:t>
      </w:r>
    </w:p>
    <w:p w14:paraId="6CE07FC9" w14:textId="77777777"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t>Restated Insight:</w:t>
      </w:r>
    </w:p>
    <w:p w14:paraId="7B9326A5" w14:textId="77777777"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t>Proposed Recommendation:</w:t>
      </w:r>
    </w:p>
    <w:p w14:paraId="573E860B" w14:textId="0AE081C0" w:rsidR="007D72C2" w:rsidRPr="00A537D1" w:rsidRDefault="00A537D1">
      <w:pPr>
        <w:pStyle w:val="ListBullet2"/>
        <w:rPr>
          <w:rFonts w:ascii="Arial" w:hAnsi="Arial" w:cs="Arial"/>
          <w:color w:val="000000" w:themeColor="text1"/>
        </w:rPr>
      </w:pPr>
      <w:r w:rsidRPr="00A537D1">
        <w:rPr>
          <w:rFonts w:ascii="Arial" w:hAnsi="Arial" w:cs="Arial"/>
          <w:color w:val="000000" w:themeColor="text1"/>
        </w:rPr>
        <w:t xml:space="preserve">  </w:t>
      </w:r>
      <w:r w:rsidRPr="00A537D1">
        <w:rPr>
          <w:rFonts w:ascii="Arial" w:hAnsi="Arial" w:cs="Arial"/>
          <w:color w:val="000000" w:themeColor="text1"/>
        </w:rPr>
        <w:t>Specific:</w:t>
      </w:r>
    </w:p>
    <w:p w14:paraId="14A948D0" w14:textId="2A45793E" w:rsidR="007D72C2" w:rsidRPr="00A537D1" w:rsidRDefault="00A537D1">
      <w:pPr>
        <w:pStyle w:val="ListBullet2"/>
        <w:rPr>
          <w:rFonts w:ascii="Arial" w:hAnsi="Arial" w:cs="Arial"/>
          <w:color w:val="000000" w:themeColor="text1"/>
        </w:rPr>
      </w:pPr>
      <w:r w:rsidRPr="00A537D1">
        <w:rPr>
          <w:rFonts w:ascii="Arial" w:hAnsi="Arial" w:cs="Arial"/>
          <w:color w:val="000000" w:themeColor="text1"/>
        </w:rPr>
        <w:t xml:space="preserve">  </w:t>
      </w:r>
      <w:r w:rsidRPr="00A537D1">
        <w:rPr>
          <w:rFonts w:ascii="Arial" w:hAnsi="Arial" w:cs="Arial"/>
          <w:color w:val="000000" w:themeColor="text1"/>
        </w:rPr>
        <w:t>Measurable:</w:t>
      </w:r>
    </w:p>
    <w:p w14:paraId="3D5B0DDB" w14:textId="7BFA667D" w:rsidR="007D72C2" w:rsidRPr="00A537D1" w:rsidRDefault="00A537D1">
      <w:pPr>
        <w:pStyle w:val="ListBullet2"/>
        <w:rPr>
          <w:rFonts w:ascii="Arial" w:hAnsi="Arial" w:cs="Arial"/>
          <w:color w:val="000000" w:themeColor="text1"/>
        </w:rPr>
      </w:pPr>
      <w:r w:rsidRPr="00A537D1">
        <w:rPr>
          <w:rFonts w:ascii="Arial" w:hAnsi="Arial" w:cs="Arial"/>
          <w:color w:val="000000" w:themeColor="text1"/>
        </w:rPr>
        <w:t xml:space="preserve">  </w:t>
      </w:r>
      <w:r w:rsidRPr="00A537D1">
        <w:rPr>
          <w:rFonts w:ascii="Arial" w:hAnsi="Arial" w:cs="Arial"/>
          <w:color w:val="000000" w:themeColor="text1"/>
        </w:rPr>
        <w:t>Actionable:</w:t>
      </w:r>
    </w:p>
    <w:p w14:paraId="692F7089" w14:textId="7C1B8958" w:rsidR="007D72C2" w:rsidRPr="00A537D1" w:rsidRDefault="00A537D1">
      <w:pPr>
        <w:pStyle w:val="ListBullet2"/>
        <w:rPr>
          <w:rFonts w:ascii="Arial" w:hAnsi="Arial" w:cs="Arial"/>
          <w:color w:val="000000" w:themeColor="text1"/>
        </w:rPr>
      </w:pPr>
      <w:r w:rsidRPr="00A537D1">
        <w:rPr>
          <w:rFonts w:ascii="Arial" w:hAnsi="Arial" w:cs="Arial"/>
          <w:color w:val="000000" w:themeColor="text1"/>
        </w:rPr>
        <w:t xml:space="preserve">  </w:t>
      </w:r>
      <w:r w:rsidRPr="00A537D1">
        <w:rPr>
          <w:rFonts w:ascii="Arial" w:hAnsi="Arial" w:cs="Arial"/>
          <w:color w:val="000000" w:themeColor="text1"/>
        </w:rPr>
        <w:t>Relevant:</w:t>
      </w:r>
    </w:p>
    <w:p w14:paraId="5BFD19C6" w14:textId="549CBD98" w:rsidR="007D72C2" w:rsidRPr="00A537D1" w:rsidRDefault="00A537D1">
      <w:pPr>
        <w:pStyle w:val="ListBullet2"/>
        <w:rPr>
          <w:rFonts w:ascii="Arial" w:hAnsi="Arial" w:cs="Arial"/>
          <w:color w:val="000000" w:themeColor="text1"/>
        </w:rPr>
      </w:pPr>
      <w:r w:rsidRPr="00A537D1">
        <w:rPr>
          <w:rFonts w:ascii="Arial" w:hAnsi="Arial" w:cs="Arial"/>
          <w:color w:val="000000" w:themeColor="text1"/>
        </w:rPr>
        <w:t xml:space="preserve">  </w:t>
      </w:r>
      <w:r w:rsidRPr="00A537D1">
        <w:rPr>
          <w:rFonts w:ascii="Arial" w:hAnsi="Arial" w:cs="Arial"/>
          <w:color w:val="000000" w:themeColor="text1"/>
        </w:rPr>
        <w:t>Time-bound:</w:t>
      </w:r>
    </w:p>
    <w:p w14:paraId="17D2B140" w14:textId="77777777"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lastRenderedPageBreak/>
        <w:t>Justification and Business Rationale:</w:t>
      </w:r>
    </w:p>
    <w:p w14:paraId="08E6A272" w14:textId="77777777" w:rsidR="007D72C2" w:rsidRPr="00A537D1" w:rsidRDefault="00A537D1">
      <w:pPr>
        <w:pStyle w:val="Heading1"/>
        <w:rPr>
          <w:rFonts w:ascii="Arial" w:hAnsi="Arial" w:cs="Arial"/>
          <w:color w:val="000000" w:themeColor="text1"/>
        </w:rPr>
      </w:pPr>
      <w:r w:rsidRPr="00A537D1">
        <w:rPr>
          <w:rFonts w:ascii="Arial" w:hAnsi="Arial" w:cs="Arial"/>
          <w:color w:val="000000" w:themeColor="text1"/>
        </w:rPr>
        <w:t>3. Considérations éthiques et IA responsable</w:t>
      </w:r>
    </w:p>
    <w:p w14:paraId="12F299C0" w14:textId="77777777" w:rsidR="007D72C2" w:rsidRPr="00A537D1" w:rsidRDefault="00A537D1">
      <w:pPr>
        <w:rPr>
          <w:rFonts w:ascii="Arial" w:hAnsi="Arial" w:cs="Arial"/>
          <w:color w:val="000000" w:themeColor="text1"/>
        </w:rPr>
      </w:pPr>
      <w:r w:rsidRPr="00A537D1">
        <w:rPr>
          <w:rFonts w:ascii="Arial" w:hAnsi="Arial" w:cs="Arial"/>
          <w:color w:val="000000" w:themeColor="text1"/>
        </w:rPr>
        <w:t>Reflect on the fairness, transparency, and impact of your model and recommendation.</w:t>
      </w:r>
      <w:r w:rsidRPr="00A537D1">
        <w:rPr>
          <w:rFonts w:ascii="Arial" w:hAnsi="Arial" w:cs="Arial"/>
          <w:color w:val="000000" w:themeColor="text1"/>
        </w:rPr>
        <w:br/>
      </w:r>
      <w:r w:rsidRPr="00A537D1">
        <w:rPr>
          <w:rFonts w:ascii="Arial" w:hAnsi="Arial" w:cs="Arial"/>
          <w:color w:val="000000" w:themeColor="text1"/>
        </w:rPr>
        <w:br/>
        <w:t>Include a brief discussion of any relevant ethical considerations, such as:</w:t>
      </w:r>
    </w:p>
    <w:p w14:paraId="00012648" w14:textId="6B4C09F0"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t>Potential for bias or unfair treatment of certain customer groups (Provide specific examples related to your analysis).</w:t>
      </w:r>
    </w:p>
    <w:p w14:paraId="47264F3A" w14:textId="553BA44A"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t>Explainability – how easy it is to communicate why the model makes its predictions.</w:t>
      </w:r>
    </w:p>
    <w:p w14:paraId="23BA5152" w14:textId="510C173F"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t>Whether the recommendation supports responsible financial decision-making.</w:t>
      </w:r>
    </w:p>
    <w:p w14:paraId="3DCE71AF" w14:textId="7D76B70B" w:rsidR="007D72C2" w:rsidRPr="00A537D1" w:rsidRDefault="00A537D1">
      <w:pPr>
        <w:pStyle w:val="ListBullet"/>
        <w:rPr>
          <w:rFonts w:ascii="Arial" w:hAnsi="Arial" w:cs="Arial"/>
          <w:color w:val="000000" w:themeColor="text1"/>
        </w:rPr>
      </w:pPr>
      <w:r w:rsidRPr="00A537D1">
        <w:rPr>
          <w:rFonts w:ascii="Arial" w:hAnsi="Arial" w:cs="Arial"/>
          <w:color w:val="000000" w:themeColor="text1"/>
        </w:rPr>
        <w:t>Other ethical principles considered (e.g., transparency, accountability, data privacy).</w:t>
      </w:r>
    </w:p>
    <w:p w14:paraId="33EC1793" w14:textId="77777777" w:rsidR="007D72C2" w:rsidRPr="00A537D1" w:rsidRDefault="00A537D1">
      <w:pPr>
        <w:rPr>
          <w:rFonts w:ascii="Arial" w:hAnsi="Arial" w:cs="Arial"/>
          <w:color w:val="000000" w:themeColor="text1"/>
        </w:rPr>
      </w:pPr>
      <w:r w:rsidRPr="00A537D1">
        <w:rPr>
          <w:rFonts w:ascii="Arial" w:hAnsi="Arial" w:cs="Arial"/>
          <w:color w:val="000000" w:themeColor="text1"/>
        </w:rPr>
        <w:br/>
        <w:t>Keep your report under two pages. Write in plain, professional language. Use headings, bullet points, or short paragraphs to make it easy for the reader to follow.</w:t>
      </w:r>
    </w:p>
    <w:sectPr w:rsidR="007D72C2" w:rsidRPr="00A537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674117">
    <w:abstractNumId w:val="8"/>
  </w:num>
  <w:num w:numId="2" w16cid:durableId="1801531605">
    <w:abstractNumId w:val="6"/>
  </w:num>
  <w:num w:numId="3" w16cid:durableId="486094038">
    <w:abstractNumId w:val="5"/>
  </w:num>
  <w:num w:numId="4" w16cid:durableId="255750852">
    <w:abstractNumId w:val="4"/>
  </w:num>
  <w:num w:numId="5" w16cid:durableId="1951626911">
    <w:abstractNumId w:val="7"/>
  </w:num>
  <w:num w:numId="6" w16cid:durableId="1111168920">
    <w:abstractNumId w:val="3"/>
  </w:num>
  <w:num w:numId="7" w16cid:durableId="124276201">
    <w:abstractNumId w:val="2"/>
  </w:num>
  <w:num w:numId="8" w16cid:durableId="1778476411">
    <w:abstractNumId w:val="1"/>
  </w:num>
  <w:num w:numId="9" w16cid:durableId="1111129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72C2"/>
    <w:rsid w:val="008237CA"/>
    <w:rsid w:val="00A537D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4DB5BE"/>
  <w14:defaultImageDpi w14:val="300"/>
  <w15:docId w15:val="{578686E3-F8AA-B641-B7B7-8F5C3F9AF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7D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A5A5A5"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DDDD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Gre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291</Words>
  <Characters>1662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Tammy</cp:lastModifiedBy>
  <cp:revision>2</cp:revision>
  <dcterms:created xsi:type="dcterms:W3CDTF">2013-12-23T23:15:00Z</dcterms:created>
  <dcterms:modified xsi:type="dcterms:W3CDTF">2025-03-23T11:41:00Z</dcterms:modified>
  <cp:category/>
</cp:coreProperties>
</file>