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3E112" w14:textId="77777777" w:rsidR="004B5529" w:rsidRPr="00E31114" w:rsidRDefault="00E31114" w:rsidP="00E31114">
      <w:pPr>
        <w:jc w:val="center"/>
        <w:rPr>
          <w:rFonts w:ascii="Arial" w:hAnsi="Arial" w:cs="Arial"/>
          <w:b/>
          <w:bCs/>
          <w:i w:val="0"/>
          <w:iCs w:val="0"/>
          <w:sz w:val="32"/>
          <w:szCs w:val="32"/>
        </w:rPr>
      </w:pPr>
      <w:r w:rsidRPr="00E31114">
        <w:rPr>
          <w:rFonts w:ascii="Arial" w:hAnsi="Arial" w:cs="Arial"/>
          <w:b/>
          <w:bCs/>
          <w:i w:val="0"/>
          <w:iCs w:val="0"/>
          <w:sz w:val="32"/>
          <w:szCs w:val="32"/>
        </w:rPr>
        <w:t>Plan de modèle prédictif — Délinquance Geldium</w:t>
      </w:r>
    </w:p>
    <w:p w14:paraId="144E44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Ce plan décrit l'approche de modélisation proposée pour prévoir quels clients de Geldium présentent le plus grand risque de défaut de paiement. Il s'appuie sur les enseignements de l'analyse exploratoire (partie 1) et sur des outils GenAI utilisés pour structurer la logique du modèle, sa justification et son évaluation.</w:t>
      </w:r>
    </w:p>
    <w:p w14:paraId="19A14894"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1. Logique du modèle (générée avec la GenAI)</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Le modèle estime, pour chaque client, la probabilité qu'il devienne délinquant. Cette probabilité est convertie en bande de risque (Faible / Moyen / Élevé) qui déclenche une action d'intervention graduée. La logique ci-dessous a été générée avec la GenAI à partir des prompts suivants, puis ajustée selon les résultats de l'EDA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Esquisse un pipeline de modélisation prédictive pour prévoir les retards de crédit, de la sélection des variables à l'évaluation.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Propose deux options de modélisation (simple et complexe) pour prédire la délinquance, et recommandes-en une.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comment le modèle transforme les variables d'un client en une prédiction finale du risque.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Génère un pseudocode pour un modèle de risque de crédit utilisant le revenu, l'utilisation du crédit et les paiements manqués. »</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Deux options de modélisation comparées :</w:t>
      </w:r>
    </w:p>
    <w:tbl>
      <w:tblPr>
        <w:tblStyle w:val="TableGrid"/>
        <w:tblW w:type="auto" w:w="0"/>
        <w:tblLook w:firstColumn="1" w:firstRow="1" w:lastColumn="0" w:lastRow="0" w:noHBand="0" w:noVBand="1" w:val="04A0"/>
      </w:tblPr>
      <w:tblGrid>
        <w:gridCol w:w="2880"/>
        <w:gridCol w:w="2880"/>
        <w:gridCol w:w="2880"/>
      </w:tblGrid>
      <w:tr>
        <w:tc>
          <w:tcPr>
            <w:tcW w:type="dxa" w:w="1814"/>
            <w:shd w:val="clear" w:color="auto" w:fill="DCE6F2"/>
          </w:tcPr>
          <w:p>
            <w:r>
              <w:rPr>
                <w:rFonts w:ascii="Arial" w:hAnsi="Arial"/>
                <w:i w:val="0"/>
                <w:sz w:val="18"/>
              </w:rPr>
            </w:r>
          </w:p>
        </w:tc>
        <w:tc>
          <w:tcPr>
            <w:tcW w:type="dxa" w:w="3685"/>
            <w:shd w:val="clear" w:color="auto" w:fill="DCE6F2"/>
          </w:tcPr>
          <w:p>
            <w:r>
              <w:rPr>
                <w:rFonts w:ascii="Arial" w:hAnsi="Arial"/>
                <w:b/>
                <w:i w:val="0"/>
                <w:sz w:val="18"/>
              </w:rPr>
              <w:t>Option simple : régression logistique</w:t>
            </w:r>
          </w:p>
        </w:tc>
        <w:tc>
          <w:tcPr>
            <w:tcW w:type="dxa" w:w="3855"/>
            <w:shd w:val="clear" w:color="auto" w:fill="DCE6F2"/>
          </w:tcPr>
          <w:p>
            <w:r>
              <w:rPr>
                <w:rFonts w:ascii="Arial" w:hAnsi="Arial"/>
                <w:b/>
                <w:i w:val="0"/>
                <w:sz w:val="18"/>
              </w:rPr>
              <w:t>Option complexe : gradient boosting (XGBoost / LightGBM)</w:t>
            </w:r>
          </w:p>
        </w:tc>
      </w:tr>
      <w:tr>
        <w:tc>
          <w:tcPr>
            <w:tcW w:type="dxa" w:w="1814"/>
          </w:tcPr>
          <w:p>
            <w:r>
              <w:rPr>
                <w:rFonts w:ascii="Arial" w:hAnsi="Arial"/>
                <w:i w:val="0"/>
                <w:sz w:val="18"/>
              </w:rPr>
              <w:t>Principe</w:t>
            </w:r>
          </w:p>
        </w:tc>
        <w:tc>
          <w:tcPr>
            <w:tcW w:type="dxa" w:w="3685"/>
          </w:tcPr>
          <w:p>
            <w:r>
              <w:rPr>
                <w:rFonts w:ascii="Arial" w:hAnsi="Arial"/>
                <w:i w:val="0"/>
                <w:sz w:val="18"/>
              </w:rPr>
              <w:t>Combinaison linéaire pondérée des variables, transformée en probabilité (sigmoïde)</w:t>
            </w:r>
          </w:p>
        </w:tc>
        <w:tc>
          <w:tcPr>
            <w:tcW w:type="dxa" w:w="3855"/>
          </w:tcPr>
          <w:p>
            <w:r>
              <w:rPr>
                <w:rFonts w:ascii="Arial" w:hAnsi="Arial"/>
                <w:i w:val="0"/>
                <w:sz w:val="18"/>
              </w:rPr>
              <w:t>Centaines d'arbres de décision construits séquentiellement, chacun corrigeant les erreurs du précédent</w:t>
            </w:r>
          </w:p>
        </w:tc>
      </w:tr>
      <w:tr>
        <w:tc>
          <w:tcPr>
            <w:tcW w:type="dxa" w:w="1814"/>
          </w:tcPr>
          <w:p>
            <w:r>
              <w:rPr>
                <w:rFonts w:ascii="Arial" w:hAnsi="Arial"/>
                <w:i w:val="0"/>
                <w:sz w:val="18"/>
              </w:rPr>
              <w:t>Interprétabilité</w:t>
            </w:r>
          </w:p>
        </w:tc>
        <w:tc>
          <w:tcPr>
            <w:tcW w:type="dxa" w:w="3685"/>
          </w:tcPr>
          <w:p>
            <w:r>
              <w:rPr>
                <w:rFonts w:ascii="Arial" w:hAnsi="Arial"/>
                <w:i w:val="0"/>
                <w:sz w:val="18"/>
              </w:rPr>
              <w:t>Élevée : chaque coefficient se lit comme un effet sur le risque</w:t>
            </w:r>
          </w:p>
        </w:tc>
        <w:tc>
          <w:tcPr>
            <w:tcW w:type="dxa" w:w="3855"/>
          </w:tcPr>
          <w:p>
            <w:r>
              <w:rPr>
                <w:rFonts w:ascii="Arial" w:hAnsi="Arial"/>
                <w:i w:val="0"/>
                <w:sz w:val="18"/>
              </w:rPr>
              <w:t>Faible en natif, nécessite SHAP</w:t>
            </w:r>
          </w:p>
        </w:tc>
      </w:tr>
      <w:tr>
        <w:tc>
          <w:tcPr>
            <w:tcW w:type="dxa" w:w="1814"/>
          </w:tcPr>
          <w:p>
            <w:r>
              <w:rPr>
                <w:rFonts w:ascii="Arial" w:hAnsi="Arial"/>
                <w:i w:val="0"/>
                <w:sz w:val="18"/>
              </w:rPr>
              <w:t>Non-linéarités</w:t>
            </w:r>
          </w:p>
        </w:tc>
        <w:tc>
          <w:tcPr>
            <w:tcW w:type="dxa" w:w="3685"/>
          </w:tcPr>
          <w:p>
            <w:r>
              <w:rPr>
                <w:rFonts w:ascii="Arial" w:hAnsi="Arial"/>
                <w:i w:val="0"/>
                <w:sz w:val="18"/>
              </w:rPr>
              <w:t>À créer manuellement</w:t>
            </w:r>
          </w:p>
        </w:tc>
        <w:tc>
          <w:tcPr>
            <w:tcW w:type="dxa" w:w="3855"/>
          </w:tcPr>
          <w:p>
            <w:r>
              <w:rPr>
                <w:rFonts w:ascii="Arial" w:hAnsi="Arial"/>
                <w:i w:val="0"/>
                <w:sz w:val="18"/>
              </w:rPr>
              <w:t>Capturées automatiquement</w:t>
            </w:r>
          </w:p>
        </w:tc>
      </w:tr>
      <w:tr>
        <w:tc>
          <w:tcPr>
            <w:tcW w:type="dxa" w:w="1814"/>
          </w:tcPr>
          <w:p>
            <w:r>
              <w:rPr>
                <w:rFonts w:ascii="Arial" w:hAnsi="Arial"/>
                <w:i w:val="0"/>
                <w:sz w:val="18"/>
              </w:rPr>
              <w:t>Données requises</w:t>
            </w:r>
          </w:p>
        </w:tc>
        <w:tc>
          <w:tcPr>
            <w:tcW w:type="dxa" w:w="3685"/>
          </w:tcPr>
          <w:p>
            <w:r>
              <w:rPr>
                <w:rFonts w:ascii="Arial" w:hAnsi="Arial"/>
                <w:i w:val="0"/>
                <w:sz w:val="18"/>
              </w:rPr>
              <w:t>Fonctionne avec 500 lignes</w:t>
            </w:r>
          </w:p>
        </w:tc>
        <w:tc>
          <w:tcPr>
            <w:tcW w:type="dxa" w:w="3855"/>
          </w:tcPr>
          <w:p>
            <w:r>
              <w:rPr>
                <w:rFonts w:ascii="Arial" w:hAnsi="Arial"/>
                <w:i w:val="0"/>
                <w:sz w:val="18"/>
              </w:rPr>
              <w:t>Risque élevé de surapprentissage sur 500 lignes</w:t>
            </w:r>
          </w:p>
        </w:tc>
      </w:tr>
      <w:tr>
        <w:tc>
          <w:tcPr>
            <w:tcW w:type="dxa" w:w="1814"/>
          </w:tcPr>
          <w:p>
            <w:r>
              <w:rPr>
                <w:rFonts w:ascii="Arial" w:hAnsi="Arial"/>
                <w:i w:val="0"/>
                <w:sz w:val="18"/>
              </w:rPr>
              <w:t>Usage dans le secteur</w:t>
            </w:r>
          </w:p>
        </w:tc>
        <w:tc>
          <w:tcPr>
            <w:tcW w:type="dxa" w:w="3685"/>
          </w:tcPr>
          <w:p>
            <w:r>
              <w:rPr>
                <w:rFonts w:ascii="Arial" w:hAnsi="Arial"/>
                <w:i w:val="0"/>
                <w:sz w:val="18"/>
              </w:rPr>
              <w:t>Standard des scorecards de crédit réglementées</w:t>
            </w:r>
          </w:p>
        </w:tc>
        <w:tc>
          <w:tcPr>
            <w:tcW w:type="dxa" w:w="3855"/>
          </w:tcPr>
          <w:p>
            <w:r>
              <w:rPr>
                <w:rFonts w:ascii="Arial" w:hAnsi="Arial"/>
                <w:i w:val="0"/>
                <w:sz w:val="18"/>
              </w:rPr>
              <w:t>Modèle challenger, détection de fraude</w:t>
            </w:r>
          </w:p>
        </w:tc>
      </w:tr>
    </w:tbl>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Recommandation : </w:t>
      </w:r>
      <w:r>
        <w:rPr>
          <w:rFonts w:ascii="Arial" w:hAnsi="Arial"/>
          <w:i w:val="0"/>
        </w:rPr>
        <w:t>la régression logistique pondérée comme modèle principal, avec le gradient boosting comme challenger pour vérifier qu'aucune relation non linéaire importante n'est ignorée.</w:t>
      </w:r>
    </w:p>
    <w:p w14:paraId="6C4BE02A" w14:textId="77777777" w:rsidR="004B5529" w:rsidRPr="00E31114" w:rsidRDefault="00E31114">
      <w:pPr>
        <w:pStyle w:val="IntenseQuote"/>
        <w:rPr>
          <w:rFonts w:ascii="Courier New" w:hAnsi="Courier New" w:cs="Courier New"/>
          <w:i w:val="0"/>
          <w:iCs w:val="0"/>
          <w:color w:val="000000" w:themeColor="text1"/>
        </w:rPr>
      </w:pPr>
      <w:r w:rsidRPr="00E31114">
        <w:rPr>
          <w:rFonts w:ascii="Arial" w:hAnsi="Arial" w:cs="Arial"/>
          <w:b/>
          <w:i w:val="0"/>
          <w:iCs w:val="0"/>
          <w:color w:val="000000" w:themeColor="text1"/>
        </w:rPr>
        <w:t>Flux de travail du modèle (sortie GenAI paraphrasée)</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1. Ingestion et validation : contrôle du schéma, des plages (utilisation 0–1,2 ; score 300–850) et de la cohérence âge/ancienneté.</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2. Nettoyage : normalisation d'Employment_Status, imputation médiane + indicateurs de valeur manquante (cf. EDA).</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3. Ingénierie des variables : Missed_6m, Late_6m, Recent_Missed (Month_6), Over_Limit, New_Account (ancienneté = 0).</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4. Prétraitement : standardisation des numériques, encodage one-hot des catégorielles ; Location et Age exclus (équité).</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5. Modèle : régression logistique pondérée (class_weight = « balanced », 16 % de délinquants).</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6. Sortie : probabilité de défaut → bande de risque par rang (Élevé = top 10 %, Moyen = 10–30 %) → action (aucune / rappel automatique / contact par un conseiller).</w:t>
      </w:r>
    </w:p>
    <w:p w14:paraId="6C4BE02A" w14:textId="77777777" w:rsidR="004B5529" w:rsidRPr="00E31114" w:rsidRDefault="00E31114">
      <w:pPr>
        <w:ind w:left="0"/>
        <w:rPr>
          <w:rFonts w:ascii="Courier New" w:hAnsi="Courier New" w:cs="Courier New"/>
          <w:i w:val="0"/>
          <w:iCs w:val="0"/>
          <w:color w:val="000000" w:themeColor="text1"/>
        </w:rPr>
      </w:pPr>
      <w:r w:rsidRPr="00E31114">
        <w:rPr>
          <w:rFonts w:ascii="Arial" w:hAnsi="Arial" w:cs="Arial"/>
          <w:b/>
          <w:i w:val="0"/>
          <w:iCs w:val="0"/>
          <w:color w:val="000000" w:themeColor="text1"/>
        </w:rPr>
        <w:t>Pseudocode :</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CHARGER données clients ; VALIDER schéma et plages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NETTOYER : normaliser Employment_Status ; imputer Income, Loan_Balance, Credit_Score</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CRÉER : Missed_6m, Late_6m, Recent_Missed, Over_Limit, New_Account</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X ← historique de paiement, Credit_Utilization, Debt_to_Income_Ratio, Credit_Score, Employment_Status, ...</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y ← Delinquent_Account</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DIVISER entraînement 80 % / test 20 % (stratifié sur y)</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PIPELINE ← Standardisation + OneHot + RégressionLogistique(poids équilibrés)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ENTRAÎNER avec validation croisée 5 plis ; CALIBRER les probabilités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POUR chaque client :</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p ← probabilité de défaut</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bande ← Élevé (top 10 %) | Moyen (10–30 %) | Faible</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EXPLIQUER : 3 variables qui contribuent le plus (coefficient × valeur)</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RETOURNER p, bande, explication</w:t>
      </w:r>
    </w:p>
    <w:p w14:paraId="6C4BE02A" w14:textId="77777777" w:rsidR="004B5529" w:rsidRPr="00E31114" w:rsidRDefault="00E31114">
      <w:pPr>
        <w:spacing w:after="120" w:before="240"/>
        <w:ind w:left="0"/>
        <w:rPr>
          <w:rFonts w:ascii="Courier New" w:hAnsi="Courier New" w:cs="Courier New"/>
          <w:i w:val="0"/>
          <w:iCs w:val="0"/>
          <w:color w:val="000000" w:themeColor="text1"/>
        </w:rPr>
      </w:pPr>
      <w:r w:rsidRPr="00E31114">
        <w:rPr>
          <w:rFonts w:ascii="Arial" w:hAnsi="Arial" w:cs="Arial"/>
          <w:b/>
          <w:i w:val="0"/>
          <w:iCs w:val="0"/>
          <w:color w:val="000000" w:themeColor="text1"/>
        </w:rPr>
        <w:t>Synthèse du modèle choisi :</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Une régression logistique pondérée estime la probabilité de délinquance de chaque client à partir d'une combinaison linéaire de ses caractéristiques financières et de son historique de paiement. Cette probabilité est convertie en bande de risque qui déclenche une intervention graduée, et chaque prédiction s'explique par les coefficients du modèle. Un gradient boosting sert de challenger pour détecter d'éventuelles relations non linéaires.</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Les 5 principales variables d'entrée :</w:t>
      </w:r>
    </w:p>
    <w:tbl>
      <w:tblPr>
        <w:tblStyle w:val="TableGrid"/>
        <w:tblW w:type="auto" w:w="0"/>
        <w:tblLook w:firstColumn="1" w:firstRow="1" w:lastColumn="0" w:lastRow="0" w:noHBand="0" w:noVBand="1" w:val="04A0"/>
      </w:tblPr>
      <w:tblGrid>
        <w:gridCol w:w="2880"/>
        <w:gridCol w:w="2880"/>
        <w:gridCol w:w="2880"/>
      </w:tblGrid>
      <w:tr>
        <w:tc>
          <w:tcPr>
            <w:tcW w:type="dxa" w:w="454"/>
            <w:shd w:val="clear" w:color="auto" w:fill="DCE6F2"/>
          </w:tcPr>
          <w:p>
            <w:r>
              <w:rPr>
                <w:rFonts w:ascii="Arial" w:hAnsi="Arial"/>
                <w:b/>
                <w:i w:val="0"/>
                <w:sz w:val="18"/>
              </w:rPr>
              <w:t>#</w:t>
            </w:r>
          </w:p>
        </w:tc>
        <w:tc>
          <w:tcPr>
            <w:tcW w:type="dxa" w:w="3118"/>
            <w:shd w:val="clear" w:color="auto" w:fill="DCE6F2"/>
          </w:tcPr>
          <w:p>
            <w:r>
              <w:rPr>
                <w:rFonts w:ascii="Arial" w:hAnsi="Arial"/>
                <w:b/>
                <w:i w:val="0"/>
                <w:sz w:val="18"/>
              </w:rPr>
              <w:t>Variable</w:t>
            </w:r>
          </w:p>
        </w:tc>
        <w:tc>
          <w:tcPr>
            <w:tcW w:type="dxa" w:w="5783"/>
            <w:shd w:val="clear" w:color="auto" w:fill="DCE6F2"/>
          </w:tcPr>
          <w:p>
            <w:r>
              <w:rPr>
                <w:rFonts w:ascii="Arial" w:hAnsi="Arial"/>
                <w:b/>
                <w:i w:val="0"/>
                <w:sz w:val="18"/>
              </w:rPr>
              <w:t>Contribution attendue à la prédiction</w:t>
            </w:r>
          </w:p>
        </w:tc>
      </w:tr>
      <w:tr>
        <w:tc>
          <w:tcPr>
            <w:tcW w:type="dxa" w:w="454"/>
          </w:tcPr>
          <w:p>
            <w:r>
              <w:rPr>
                <w:rFonts w:ascii="Arial" w:hAnsi="Arial"/>
                <w:i w:val="0"/>
                <w:sz w:val="18"/>
              </w:rPr>
              <w:t>1</w:t>
            </w:r>
          </w:p>
        </w:tc>
        <w:tc>
          <w:tcPr>
            <w:tcW w:type="dxa" w:w="3118"/>
          </w:tcPr>
          <w:p>
            <w:r>
              <w:rPr>
                <w:rFonts w:ascii="Arial" w:hAnsi="Arial"/>
                <w:i w:val="0"/>
                <w:sz w:val="18"/>
              </w:rPr>
              <w:t>Historique de paiement (Missed_Payments, Missed_6m, Recent_Missed)</w:t>
            </w:r>
          </w:p>
        </w:tc>
        <w:tc>
          <w:tcPr>
            <w:tcW w:type="dxa" w:w="5783"/>
          </w:tcPr>
          <w:p>
            <w:r>
              <w:rPr>
                <w:rFonts w:ascii="Arial" w:hAnsi="Arial"/>
                <w:i w:val="0"/>
                <w:sz w:val="18"/>
              </w:rPr>
              <w:t>Premier prédicteur du risque de crédit : les retards passés et récents annoncent les défauts futurs. À fiabiliser (incohérence relevée dans l'EDA).</w:t>
            </w:r>
          </w:p>
        </w:tc>
      </w:tr>
      <w:tr>
        <w:tc>
          <w:tcPr>
            <w:tcW w:type="dxa" w:w="454"/>
          </w:tcPr>
          <w:p>
            <w:r>
              <w:rPr>
                <w:rFonts w:ascii="Arial" w:hAnsi="Arial"/>
                <w:i w:val="0"/>
                <w:sz w:val="18"/>
              </w:rPr>
              <w:t>2</w:t>
            </w:r>
          </w:p>
        </w:tc>
        <w:tc>
          <w:tcPr>
            <w:tcW w:type="dxa" w:w="3118"/>
          </w:tcPr>
          <w:p>
            <w:r>
              <w:rPr>
                <w:rFonts w:ascii="Arial" w:hAnsi="Arial"/>
                <w:i w:val="0"/>
                <w:sz w:val="18"/>
              </w:rPr>
              <w:t>Credit_Utilization (+ Over_Limit)</w:t>
            </w:r>
          </w:p>
        </w:tc>
        <w:tc>
          <w:tcPr>
            <w:tcW w:type="dxa" w:w="5783"/>
          </w:tcPr>
          <w:p>
            <w:r>
              <w:rPr>
                <w:rFonts w:ascii="Arial" w:hAnsi="Arial"/>
                <w:i w:val="0"/>
                <w:sz w:val="18"/>
              </w:rPr>
              <w:t>Une utilisation élevée ou un dépassement de limite signale une tension de trésorerie.</w:t>
            </w:r>
          </w:p>
        </w:tc>
      </w:tr>
      <w:tr>
        <w:tc>
          <w:tcPr>
            <w:tcW w:type="dxa" w:w="454"/>
          </w:tcPr>
          <w:p>
            <w:r>
              <w:rPr>
                <w:rFonts w:ascii="Arial" w:hAnsi="Arial"/>
                <w:i w:val="0"/>
                <w:sz w:val="18"/>
              </w:rPr>
              <w:t>3</w:t>
            </w:r>
          </w:p>
        </w:tc>
        <w:tc>
          <w:tcPr>
            <w:tcW w:type="dxa" w:w="3118"/>
          </w:tcPr>
          <w:p>
            <w:r>
              <w:rPr>
                <w:rFonts w:ascii="Arial" w:hAnsi="Arial"/>
                <w:i w:val="0"/>
                <w:sz w:val="18"/>
              </w:rPr>
              <w:t>Debt_to_Income_Ratio</w:t>
            </w:r>
          </w:p>
        </w:tc>
        <w:tc>
          <w:tcPr>
            <w:tcW w:type="dxa" w:w="5783"/>
          </w:tcPr>
          <w:p>
            <w:r>
              <w:rPr>
                <w:rFonts w:ascii="Arial" w:hAnsi="Arial"/>
                <w:i w:val="0"/>
                <w:sz w:val="18"/>
              </w:rPr>
              <w:t>Mesure la capacité de remboursement : plus le ratio est élevé, moins le client a de marge.</w:t>
            </w:r>
          </w:p>
        </w:tc>
      </w:tr>
      <w:tr>
        <w:tc>
          <w:tcPr>
            <w:tcW w:type="dxa" w:w="454"/>
          </w:tcPr>
          <w:p>
            <w:r>
              <w:rPr>
                <w:rFonts w:ascii="Arial" w:hAnsi="Arial"/>
                <w:i w:val="0"/>
                <w:sz w:val="18"/>
              </w:rPr>
              <w:t>4</w:t>
            </w:r>
          </w:p>
        </w:tc>
        <w:tc>
          <w:tcPr>
            <w:tcW w:type="dxa" w:w="3118"/>
          </w:tcPr>
          <w:p>
            <w:r>
              <w:rPr>
                <w:rFonts w:ascii="Arial" w:hAnsi="Arial"/>
                <w:i w:val="0"/>
                <w:sz w:val="18"/>
              </w:rPr>
              <w:t>Credit_Score</w:t>
            </w:r>
          </w:p>
        </w:tc>
        <w:tc>
          <w:tcPr>
            <w:tcW w:type="dxa" w:w="5783"/>
          </w:tcPr>
          <w:p>
            <w:r>
              <w:rPr>
                <w:rFonts w:ascii="Arial" w:hAnsi="Arial"/>
                <w:i w:val="0"/>
                <w:sz w:val="18"/>
              </w:rPr>
              <w:t>Synthèse externe de la solvabilité, standard dans les modèles de crédit.</w:t>
            </w:r>
          </w:p>
        </w:tc>
      </w:tr>
      <w:tr>
        <w:tc>
          <w:tcPr>
            <w:tcW w:type="dxa" w:w="454"/>
          </w:tcPr>
          <w:p>
            <w:r>
              <w:rPr>
                <w:rFonts w:ascii="Arial" w:hAnsi="Arial"/>
                <w:i w:val="0"/>
                <w:sz w:val="18"/>
              </w:rPr>
              <w:t>5</w:t>
            </w:r>
          </w:p>
        </w:tc>
        <w:tc>
          <w:tcPr>
            <w:tcW w:type="dxa" w:w="3118"/>
          </w:tcPr>
          <w:p>
            <w:r>
              <w:rPr>
                <w:rFonts w:ascii="Arial" w:hAnsi="Arial"/>
                <w:i w:val="0"/>
                <w:sz w:val="18"/>
              </w:rPr>
              <w:t>Employment_Status</w:t>
            </w:r>
          </w:p>
        </w:tc>
        <w:tc>
          <w:tcPr>
            <w:tcW w:type="dxa" w:w="5783"/>
          </w:tcPr>
          <w:p>
            <w:r>
              <w:rPr>
                <w:rFonts w:ascii="Arial" w:hAnsi="Arial"/>
                <w:i w:val="0"/>
                <w:sz w:val="18"/>
              </w:rPr>
              <w:t>La stabilité des revenus influence la capacité à payer (19,4 % de délinquance chez les chômeurs).</w:t>
            </w:r>
          </w:p>
        </w:tc>
      </w:tr>
    </w:tbl>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Variables secondaires : </w:t>
      </w:r>
      <w:r>
        <w:rPr>
          <w:rFonts w:ascii="Arial" w:hAnsi="Arial"/>
          <w:i w:val="0"/>
        </w:rPr>
        <w:t>Account_Tenure / New_Account (28,6 % de délinquance pour les comptes de moins d'un an), Credit_Card_Type, Income, Loan_Balance.</w:t>
      </w:r>
    </w:p>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Variables exclues : </w:t>
      </w:r>
      <w:r>
        <w:rPr>
          <w:rFonts w:ascii="Arial" w:hAnsi="Arial"/>
          <w:i w:val="0"/>
        </w:rPr>
        <w:t>Location et Age, pour éviter une discrimination géographique ou liée à l'âge. Elles sont réservées aux contrôles d'équité.</w:t>
      </w:r>
    </w:p>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Point d'attention : </w:t>
      </w:r>
      <w:r>
        <w:rPr>
          <w:rFonts w:ascii="Arial" w:hAnsi="Arial"/>
          <w:i w:val="0"/>
        </w:rPr>
        <w:t>appliqué au jeu actuel, le pipeline reproduit les relations inversées constatées dans l'EDA (des clients avec 6 paiements manqués classés « Faible »). La logique est valable, mais le modèle ne doit pas être déployé avant la fiabilisation des données par Geldium.</w:t>
      </w:r>
    </w:p>
    <w:p w14:paraId="35E39D13"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2. Justification du choix du modèle</w:t>
      </w:r>
    </w:p>
    <w:p w14:paraId="780DB871"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Pourquoi ce type de modèle ? Critères considérés : précision, transparence, facilité de mise en œuvre, pertinence pour la prédiction financière et adéquation aux besoins de Geldium.</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Prompts GenAI utilisés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les avantages et inconvénients de la régression logistique par rapport aux arbres de décision pour la prévision du risque financier.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Compare les options de modèles pour prédire la délinquance et explique comment elles équilibrent performance et explicabilité.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comment ces modèles répondent aux besoins opérationnels : vitesse, scalabilité et facilité de surveillance.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Comparaison des options :</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CE6F2"/>
          </w:tcPr>
          <w:p>
            <w:r>
              <w:rPr>
                <w:rFonts w:ascii="Arial" w:hAnsi="Arial"/>
                <w:b/>
                <w:i w:val="0"/>
                <w:sz w:val="18"/>
              </w:rPr>
              <w:t>Critère</w:t>
            </w:r>
          </w:p>
        </w:tc>
        <w:tc>
          <w:tcPr>
            <w:tcW w:type="dxa" w:w="2608"/>
            <w:shd w:val="clear" w:color="auto" w:fill="DCE6F2"/>
          </w:tcPr>
          <w:p>
            <w:r>
              <w:rPr>
                <w:rFonts w:ascii="Arial" w:hAnsi="Arial"/>
                <w:b/>
                <w:i w:val="0"/>
                <w:sz w:val="18"/>
              </w:rPr>
              <w:t>Régression logistique</w:t>
            </w:r>
          </w:p>
        </w:tc>
        <w:tc>
          <w:tcPr>
            <w:tcW w:type="dxa" w:w="2381"/>
            <w:shd w:val="clear" w:color="auto" w:fill="DCE6F2"/>
          </w:tcPr>
          <w:p>
            <w:r>
              <w:rPr>
                <w:rFonts w:ascii="Arial" w:hAnsi="Arial"/>
                <w:b/>
                <w:i w:val="0"/>
                <w:sz w:val="18"/>
              </w:rPr>
              <w:t>Arbre de décision</w:t>
            </w:r>
          </w:p>
        </w:tc>
        <w:tc>
          <w:tcPr>
            <w:tcW w:type="dxa" w:w="2438"/>
            <w:shd w:val="clear" w:color="auto" w:fill="DCE6F2"/>
          </w:tcPr>
          <w:p>
            <w:r>
              <w:rPr>
                <w:rFonts w:ascii="Arial" w:hAnsi="Arial"/>
                <w:b/>
                <w:i w:val="0"/>
                <w:sz w:val="18"/>
              </w:rPr>
              <w:t>Gradient boosting</w:t>
            </w:r>
          </w:p>
        </w:tc>
      </w:tr>
      <w:tr>
        <w:tc>
          <w:tcPr>
            <w:tcW w:type="dxa" w:w="1928"/>
          </w:tcPr>
          <w:p>
            <w:r>
              <w:rPr>
                <w:rFonts w:ascii="Arial" w:hAnsi="Arial"/>
                <w:i w:val="0"/>
                <w:sz w:val="18"/>
              </w:rPr>
              <w:t>Précision attendue</w:t>
            </w:r>
          </w:p>
        </w:tc>
        <w:tc>
          <w:tcPr>
            <w:tcW w:type="dxa" w:w="2608"/>
          </w:tcPr>
          <w:p>
            <w:r>
              <w:rPr>
                <w:rFonts w:ascii="Arial" w:hAnsi="Arial"/>
                <w:i w:val="0"/>
                <w:sz w:val="18"/>
              </w:rPr>
              <w:t>Bonne si les relations sont monotones (cas typique du crédit)</w:t>
            </w:r>
          </w:p>
        </w:tc>
        <w:tc>
          <w:tcPr>
            <w:tcW w:type="dxa" w:w="2381"/>
          </w:tcPr>
          <w:p>
            <w:r>
              <w:rPr>
                <w:rFonts w:ascii="Arial" w:hAnsi="Arial"/>
                <w:i w:val="0"/>
                <w:sz w:val="18"/>
              </w:rPr>
              <w:t>Moyenne, scores en paliers</w:t>
            </w:r>
          </w:p>
        </w:tc>
        <w:tc>
          <w:tcPr>
            <w:tcW w:type="dxa" w:w="2438"/>
          </w:tcPr>
          <w:p>
            <w:r>
              <w:rPr>
                <w:rFonts w:ascii="Arial" w:hAnsi="Arial"/>
                <w:i w:val="0"/>
                <w:sz w:val="18"/>
              </w:rPr>
              <w:t>Souvent la meilleure sur de grands volumes</w:t>
            </w:r>
          </w:p>
        </w:tc>
      </w:tr>
      <w:tr>
        <w:tc>
          <w:tcPr>
            <w:tcW w:type="dxa" w:w="1928"/>
          </w:tcPr>
          <w:p>
            <w:r>
              <w:rPr>
                <w:rFonts w:ascii="Arial" w:hAnsi="Arial"/>
                <w:i w:val="0"/>
                <w:sz w:val="18"/>
              </w:rPr>
              <w:t>Interprétabilité</w:t>
            </w:r>
          </w:p>
        </w:tc>
        <w:tc>
          <w:tcPr>
            <w:tcW w:type="dxa" w:w="2608"/>
          </w:tcPr>
          <w:p>
            <w:r>
              <w:rPr>
                <w:rFonts w:ascii="Arial" w:hAnsi="Arial"/>
                <w:i w:val="0"/>
                <w:sz w:val="18"/>
              </w:rPr>
              <w:t>Odds ratios lisibles, codes motifs par client</w:t>
            </w:r>
          </w:p>
        </w:tc>
        <w:tc>
          <w:tcPr>
            <w:tcW w:type="dxa" w:w="2381"/>
          </w:tcPr>
          <w:p>
            <w:r>
              <w:rPr>
                <w:rFonts w:ascii="Arial" w:hAnsi="Arial"/>
                <w:i w:val="0"/>
                <w:sz w:val="18"/>
              </w:rPr>
              <w:t>Règles « si… alors » lisibles si l'arbre est peu profond</w:t>
            </w:r>
          </w:p>
        </w:tc>
        <w:tc>
          <w:tcPr>
            <w:tcW w:type="dxa" w:w="2438"/>
          </w:tcPr>
          <w:p>
            <w:r>
              <w:rPr>
                <w:rFonts w:ascii="Arial" w:hAnsi="Arial"/>
                <w:i w:val="0"/>
                <w:sz w:val="18"/>
              </w:rPr>
              <w:t>Boîte noire, nécessite SHAP</w:t>
            </w:r>
          </w:p>
        </w:tc>
      </w:tr>
      <w:tr>
        <w:tc>
          <w:tcPr>
            <w:tcW w:type="dxa" w:w="1928"/>
          </w:tcPr>
          <w:p>
            <w:r>
              <w:rPr>
                <w:rFonts w:ascii="Arial" w:hAnsi="Arial"/>
                <w:i w:val="0"/>
                <w:sz w:val="18"/>
              </w:rPr>
              <w:t>Conformité réglementaire</w:t>
            </w:r>
          </w:p>
        </w:tc>
        <w:tc>
          <w:tcPr>
            <w:tcW w:type="dxa" w:w="2608"/>
          </w:tcPr>
          <w:p>
            <w:r>
              <w:rPr>
                <w:rFonts w:ascii="Arial" w:hAnsi="Arial"/>
                <w:i w:val="0"/>
                <w:sz w:val="18"/>
              </w:rPr>
              <w:t>Standard accepté des régulateurs (scorecards)</w:t>
            </w:r>
          </w:p>
        </w:tc>
        <w:tc>
          <w:tcPr>
            <w:tcW w:type="dxa" w:w="2381"/>
          </w:tcPr>
          <w:p>
            <w:r>
              <w:rPr>
                <w:rFonts w:ascii="Arial" w:hAnsi="Arial"/>
                <w:i w:val="0"/>
                <w:sz w:val="18"/>
              </w:rPr>
              <w:t>Acceptable</w:t>
            </w:r>
          </w:p>
        </w:tc>
        <w:tc>
          <w:tcPr>
            <w:tcW w:type="dxa" w:w="2438"/>
          </w:tcPr>
          <w:p>
            <w:r>
              <w:rPr>
                <w:rFonts w:ascii="Arial" w:hAnsi="Arial"/>
                <w:i w:val="0"/>
                <w:sz w:val="18"/>
              </w:rPr>
              <w:t>Documentation et validation renforcées</w:t>
            </w:r>
          </w:p>
        </w:tc>
      </w:tr>
      <w:tr>
        <w:tc>
          <w:tcPr>
            <w:tcW w:type="dxa" w:w="1928"/>
          </w:tcPr>
          <w:p>
            <w:r>
              <w:rPr>
                <w:rFonts w:ascii="Arial" w:hAnsi="Arial"/>
                <w:i w:val="0"/>
                <w:sz w:val="18"/>
              </w:rPr>
              <w:t>Données financières (500 lignes, 16 % de défauts)</w:t>
            </w:r>
          </w:p>
        </w:tc>
        <w:tc>
          <w:tcPr>
            <w:tcW w:type="dxa" w:w="2608"/>
          </w:tcPr>
          <w:p>
            <w:r>
              <w:rPr>
                <w:rFonts w:ascii="Arial" w:hAnsi="Arial"/>
                <w:i w:val="0"/>
                <w:sz w:val="18"/>
              </w:rPr>
              <w:t>Stable, déséquilibre géré par pondération</w:t>
            </w:r>
          </w:p>
        </w:tc>
        <w:tc>
          <w:tcPr>
            <w:tcW w:type="dxa" w:w="2381"/>
          </w:tcPr>
          <w:p>
            <w:r>
              <w:rPr>
                <w:rFonts w:ascii="Arial" w:hAnsi="Arial"/>
                <w:i w:val="0"/>
                <w:sz w:val="18"/>
              </w:rPr>
              <w:t>Surapprentissage sans élagage</w:t>
            </w:r>
          </w:p>
        </w:tc>
        <w:tc>
          <w:tcPr>
            <w:tcW w:type="dxa" w:w="2438"/>
          </w:tcPr>
          <w:p>
            <w:r>
              <w:rPr>
                <w:rFonts w:ascii="Arial" w:hAnsi="Arial"/>
                <w:i w:val="0"/>
                <w:sz w:val="18"/>
              </w:rPr>
              <w:t>Surapprentissage élevé</w:t>
            </w:r>
          </w:p>
        </w:tc>
      </w:tr>
      <w:tr>
        <w:tc>
          <w:tcPr>
            <w:tcW w:type="dxa" w:w="1928"/>
          </w:tcPr>
          <w:p>
            <w:r>
              <w:rPr>
                <w:rFonts w:ascii="Arial" w:hAnsi="Arial"/>
                <w:i w:val="0"/>
                <w:sz w:val="18"/>
              </w:rPr>
              <w:t>Vitesse / scalabilité</w:t>
            </w:r>
          </w:p>
        </w:tc>
        <w:tc>
          <w:tcPr>
            <w:tcW w:type="dxa" w:w="2608"/>
          </w:tcPr>
          <w:p>
            <w:r>
              <w:rPr>
                <w:rFonts w:ascii="Arial" w:hAnsi="Arial"/>
                <w:i w:val="0"/>
                <w:sz w:val="18"/>
              </w:rPr>
              <w:t>Millisecondes ; formule déployable même en SQL</w:t>
            </w:r>
          </w:p>
        </w:tc>
        <w:tc>
          <w:tcPr>
            <w:tcW w:type="dxa" w:w="2381"/>
          </w:tcPr>
          <w:p>
            <w:r>
              <w:rPr>
                <w:rFonts w:ascii="Arial" w:hAnsi="Arial"/>
                <w:i w:val="0"/>
                <w:sz w:val="18"/>
              </w:rPr>
              <w:t>Rapide</w:t>
            </w:r>
          </w:p>
        </w:tc>
        <w:tc>
          <w:tcPr>
            <w:tcW w:type="dxa" w:w="2438"/>
          </w:tcPr>
          <w:p>
            <w:r>
              <w:rPr>
                <w:rFonts w:ascii="Arial" w:hAnsi="Arial"/>
                <w:i w:val="0"/>
                <w:sz w:val="18"/>
              </w:rPr>
              <w:t>Entraînement et réglage plus coûteux</w:t>
            </w:r>
          </w:p>
        </w:tc>
      </w:tr>
      <w:tr>
        <w:tc>
          <w:tcPr>
            <w:tcW w:type="dxa" w:w="1928"/>
          </w:tcPr>
          <w:p>
            <w:r>
              <w:rPr>
                <w:rFonts w:ascii="Arial" w:hAnsi="Arial"/>
                <w:i w:val="0"/>
                <w:sz w:val="18"/>
              </w:rPr>
              <w:t>Surveillance</w:t>
            </w:r>
          </w:p>
        </w:tc>
        <w:tc>
          <w:tcPr>
            <w:tcW w:type="dxa" w:w="2608"/>
          </w:tcPr>
          <w:p>
            <w:r>
              <w:rPr>
                <w:rFonts w:ascii="Arial" w:hAnsi="Arial"/>
                <w:i w:val="0"/>
                <w:sz w:val="18"/>
              </w:rPr>
              <w:t>Suivi simple de la dérive de chaque coefficient</w:t>
            </w:r>
          </w:p>
        </w:tc>
        <w:tc>
          <w:tcPr>
            <w:tcW w:type="dxa" w:w="2381"/>
          </w:tcPr>
          <w:p>
            <w:r>
              <w:rPr>
                <w:rFonts w:ascii="Arial" w:hAnsi="Arial"/>
                <w:i w:val="0"/>
                <w:sz w:val="18"/>
              </w:rPr>
              <w:t>Simple</w:t>
            </w:r>
          </w:p>
        </w:tc>
        <w:tc>
          <w:tcPr>
            <w:tcW w:type="dxa" w:w="2438"/>
          </w:tcPr>
          <w:p>
            <w:r>
              <w:rPr>
                <w:rFonts w:ascii="Arial" w:hAnsi="Arial"/>
                <w:i w:val="0"/>
                <w:sz w:val="18"/>
              </w:rPr>
              <w:t>Dérive diffuse sur des centaines d'arbres</w:t>
            </w:r>
          </w:p>
        </w:tc>
      </w:tr>
    </w:tbl>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Justification :</w:t>
      </w:r>
    </w:p>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La régression logistique pondérée est le modèle le plus adapté aux besoins actuels de Geldium. Dans le crédit à la consommation, chaque décision défavorable doit pouvoir être expliquée au client et au régulateur (Equal Credit Opportunity Act aux États-Unis, article 22 du RGPD en Europe). Les coefficients de la régression logistique se traduisent directement en odds ratios et en codes motifs (« utilisation élevée du crédit », « paiements manqués récents »), ce qui répond à cette exigence de transparence sans outil supplémentaire. Le modèle est aussi adapté aux données : il reste stable sur 500 clients et gère le déséquilibre des classes (16 % de délinquants) par simple pondération, alors qu'un gradient boosting surapprendrait et qu'un arbre de décision produirait des scores en paliers. Sur le plan opérationnel, il s'entraîne et score en quelques millisecondes, se déploie comme une simple formule (y compris en SQL dans les systèmes existants) et se surveille facilement en suivant la dérive de chaque coefficient. Le compromis est une précision potentiellement inférieure si des relations non linéaires fortes existent. C'est pourquoi un gradient boosting sera entraîné comme challenger : s'il dépasse nettement la régression logistique en AUC, les interactions qu'il détecte seront ajoutées explicitement au modèle principal.</w:t>
      </w:r>
    </w:p>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Ce que la transparence a permis de détecter : </w:t>
      </w:r>
      <w:r>
        <w:rPr>
          <w:rFonts w:ascii="Arial" w:hAnsi="Arial"/>
          <w:i w:val="0"/>
        </w:rPr>
        <w:t>appliquée aux données actuelles, la régression logistique affiche des coefficients de signe contraire à la logique métier : les paiements manqués réduisent le risque estimé, tandis que le Credit_Score et le revenu l'augmentent. Un modèle boîte noire aurait masqué ces incohérences ; la régression logistique les rend visibles immédiatement, ce qui confirme les problèmes de données de l'EDA et illustre pourquoi un modèle contrôlable par des experts métier est indispensable en contexte financier.</w:t>
      </w:r>
    </w:p>
    <w:p w14:paraId="10E007DE"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3. Stratégie d'évaluation</w:t>
      </w:r>
    </w:p>
    <w:p w14:paraId="7D9A8D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Comment évaluer la performance du modèle : métriques utilisées et interprétation, détection et réduction des biais, considérations éthiques liées aux prédictions sur le comportement financier des clients.</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Prompts GenAI utilisés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Suggère un ensemble de métriques pour évaluer un modèle de prédiction du risque financier en termes de précision, d'équité et de biais.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Donne des exemples de techniques de réduction des biais en modélisation du risque de crédit.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Comment interpréter ces métriques et décider quand un modèle doit être amélioré avant déploiement ? »</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 xml:space="preserve">Protocole : </w:t>
      </w:r>
      <w:r>
        <w:rPr>
          <w:rFonts w:ascii="Arial" w:hAnsi="Arial"/>
          <w:i w:val="0"/>
        </w:rPr>
        <w:t>validation croisée stratifiée en 5 plis sur les 500 clients ; signalement du top 30 % de risque (bandes Moyen + Élevé) ; comparaison avec le challenger gradient boosting et un modèle naïf ; audit d'équité par tranche d'âge et par ville.</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Métriques, interprétation et seuils d'acceptation :</w:t>
      </w:r>
    </w:p>
    <w:tbl>
      <w:tblPr>
        <w:tblStyle w:val="TableGrid"/>
        <w:tblW w:type="auto" w:w="0"/>
        <w:tblLook w:firstColumn="1" w:firstRow="1" w:lastColumn="0" w:lastRow="0" w:noHBand="0" w:noVBand="1" w:val="04A0"/>
      </w:tblPr>
      <w:tblGrid>
        <w:gridCol w:w="2880"/>
        <w:gridCol w:w="2880"/>
        <w:gridCol w:w="2880"/>
      </w:tblGrid>
      <w:tr>
        <w:tc>
          <w:tcPr>
            <w:tcW w:type="dxa" w:w="1814"/>
            <w:shd w:val="clear" w:color="auto" w:fill="DCE6F2"/>
          </w:tcPr>
          <w:p>
            <w:r>
              <w:rPr>
                <w:rFonts w:ascii="Arial" w:hAnsi="Arial"/>
                <w:b/>
                <w:i w:val="0"/>
                <w:sz w:val="18"/>
              </w:rPr>
              <w:t>Métrique</w:t>
            </w:r>
          </w:p>
        </w:tc>
        <w:tc>
          <w:tcPr>
            <w:tcW w:type="dxa" w:w="5556"/>
            <w:shd w:val="clear" w:color="auto" w:fill="DCE6F2"/>
          </w:tcPr>
          <w:p>
            <w:r>
              <w:rPr>
                <w:rFonts w:ascii="Arial" w:hAnsi="Arial"/>
                <w:b/>
                <w:i w:val="0"/>
                <w:sz w:val="18"/>
              </w:rPr>
              <w:t>Ce qu'elle mesure / interprétation</w:t>
            </w:r>
          </w:p>
        </w:tc>
        <w:tc>
          <w:tcPr>
            <w:tcW w:type="dxa" w:w="1984"/>
            <w:shd w:val="clear" w:color="auto" w:fill="DCE6F2"/>
          </w:tcPr>
          <w:p>
            <w:r>
              <w:rPr>
                <w:rFonts w:ascii="Arial" w:hAnsi="Arial"/>
                <w:b/>
                <w:i w:val="0"/>
                <w:sz w:val="18"/>
              </w:rPr>
              <w:t>Seuil</w:t>
            </w:r>
          </w:p>
        </w:tc>
      </w:tr>
      <w:tr>
        <w:tc>
          <w:tcPr>
            <w:tcW w:type="dxa" w:w="1814"/>
          </w:tcPr>
          <w:p>
            <w:r>
              <w:rPr>
                <w:rFonts w:ascii="Arial" w:hAnsi="Arial"/>
                <w:i w:val="0"/>
                <w:sz w:val="18"/>
              </w:rPr>
              <w:t>AUC-ROC</w:t>
            </w:r>
          </w:p>
        </w:tc>
        <w:tc>
          <w:tcPr>
            <w:tcW w:type="dxa" w:w="5556"/>
          </w:tcPr>
          <w:p>
            <w:r>
              <w:rPr>
                <w:rFonts w:ascii="Arial" w:hAnsi="Arial"/>
                <w:i w:val="0"/>
                <w:sz w:val="18"/>
              </w:rPr>
              <w:t>Capacité à classer un délinquant au-dessus d'un non-délinquant (0,5 = hasard)</w:t>
            </w:r>
          </w:p>
        </w:tc>
        <w:tc>
          <w:tcPr>
            <w:tcW w:type="dxa" w:w="1984"/>
          </w:tcPr>
          <w:p>
            <w:r>
              <w:rPr>
                <w:rFonts w:ascii="Arial" w:hAnsi="Arial"/>
                <w:i w:val="0"/>
                <w:sz w:val="18"/>
              </w:rPr>
              <w:t>≥ 0,70</w:t>
            </w:r>
          </w:p>
        </w:tc>
      </w:tr>
      <w:tr>
        <w:tc>
          <w:tcPr>
            <w:tcW w:type="dxa" w:w="1814"/>
          </w:tcPr>
          <w:p>
            <w:r>
              <w:rPr>
                <w:rFonts w:ascii="Arial" w:hAnsi="Arial"/>
                <w:i w:val="0"/>
                <w:sz w:val="18"/>
              </w:rPr>
              <w:t>Rappel</w:t>
            </w:r>
          </w:p>
        </w:tc>
        <w:tc>
          <w:tcPr>
            <w:tcW w:type="dxa" w:w="5556"/>
          </w:tcPr>
          <w:p>
            <w:r>
              <w:rPr>
                <w:rFonts w:ascii="Arial" w:hAnsi="Arial"/>
                <w:i w:val="0"/>
                <w:sz w:val="18"/>
              </w:rPr>
              <w:t>Part des vrais délinquants repérés ; manquer un défaut coûte cher à Geldium</w:t>
            </w:r>
          </w:p>
        </w:tc>
        <w:tc>
          <w:tcPr>
            <w:tcW w:type="dxa" w:w="1984"/>
          </w:tcPr>
          <w:p>
            <w:r>
              <w:rPr>
                <w:rFonts w:ascii="Arial" w:hAnsi="Arial"/>
                <w:i w:val="0"/>
                <w:sz w:val="18"/>
              </w:rPr>
              <w:t>≥ 0,60</w:t>
            </w:r>
          </w:p>
        </w:tc>
      </w:tr>
      <w:tr>
        <w:tc>
          <w:tcPr>
            <w:tcW w:type="dxa" w:w="1814"/>
          </w:tcPr>
          <w:p>
            <w:r>
              <w:rPr>
                <w:rFonts w:ascii="Arial" w:hAnsi="Arial"/>
                <w:i w:val="0"/>
                <w:sz w:val="18"/>
              </w:rPr>
              <w:t>Précision</w:t>
            </w:r>
          </w:p>
        </w:tc>
        <w:tc>
          <w:tcPr>
            <w:tcW w:type="dxa" w:w="5556"/>
          </w:tcPr>
          <w:p>
            <w:r>
              <w:rPr>
                <w:rFonts w:ascii="Arial" w:hAnsi="Arial"/>
                <w:i w:val="0"/>
                <w:sz w:val="18"/>
              </w:rPr>
              <w:t>Part des clients signalés réellement délinquants ; évite de solliciter les bons clients</w:t>
            </w:r>
          </w:p>
        </w:tc>
        <w:tc>
          <w:tcPr>
            <w:tcW w:type="dxa" w:w="1984"/>
          </w:tcPr>
          <w:p>
            <w:r>
              <w:rPr>
                <w:rFonts w:ascii="Arial" w:hAnsi="Arial"/>
                <w:i w:val="0"/>
                <w:sz w:val="18"/>
              </w:rPr>
              <w:t>≥ 0,32 (2 × taux de base)</w:t>
            </w:r>
          </w:p>
        </w:tc>
      </w:tr>
      <w:tr>
        <w:tc>
          <w:tcPr>
            <w:tcW w:type="dxa" w:w="1814"/>
          </w:tcPr>
          <w:p>
            <w:r>
              <w:rPr>
                <w:rFonts w:ascii="Arial" w:hAnsi="Arial"/>
                <w:i w:val="0"/>
                <w:sz w:val="18"/>
              </w:rPr>
              <w:t>Score F1</w:t>
            </w:r>
          </w:p>
        </w:tc>
        <w:tc>
          <w:tcPr>
            <w:tcW w:type="dxa" w:w="5556"/>
          </w:tcPr>
          <w:p>
            <w:r>
              <w:rPr>
                <w:rFonts w:ascii="Arial" w:hAnsi="Arial"/>
                <w:i w:val="0"/>
                <w:sz w:val="18"/>
              </w:rPr>
              <w:t>Équilibre précision / rappel, adapté au déséquilibre des classes</w:t>
            </w:r>
          </w:p>
        </w:tc>
        <w:tc>
          <w:tcPr>
            <w:tcW w:type="dxa" w:w="1984"/>
          </w:tcPr>
          <w:p>
            <w:r>
              <w:rPr>
                <w:rFonts w:ascii="Arial" w:hAnsi="Arial"/>
                <w:i w:val="0"/>
                <w:sz w:val="18"/>
              </w:rPr>
              <w:t>À maximiser</w:t>
            </w:r>
          </w:p>
        </w:tc>
      </w:tr>
      <w:tr>
        <w:tc>
          <w:tcPr>
            <w:tcW w:type="dxa" w:w="1814"/>
          </w:tcPr>
          <w:p>
            <w:r>
              <w:rPr>
                <w:rFonts w:ascii="Arial" w:hAnsi="Arial"/>
                <w:i w:val="0"/>
                <w:sz w:val="18"/>
              </w:rPr>
              <w:t>Score de Brier</w:t>
            </w:r>
          </w:p>
        </w:tc>
        <w:tc>
          <w:tcPr>
            <w:tcW w:type="dxa" w:w="5556"/>
          </w:tcPr>
          <w:p>
            <w:r>
              <w:rPr>
                <w:rFonts w:ascii="Arial" w:hAnsi="Arial"/>
                <w:i w:val="0"/>
                <w:sz w:val="18"/>
              </w:rPr>
              <w:t>Fiabilité des probabilités annoncées (calibration)</w:t>
            </w:r>
          </w:p>
        </w:tc>
        <w:tc>
          <w:tcPr>
            <w:tcW w:type="dxa" w:w="1984"/>
          </w:tcPr>
          <w:p>
            <w:r>
              <w:rPr>
                <w:rFonts w:ascii="Arial" w:hAnsi="Arial"/>
                <w:i w:val="0"/>
                <w:sz w:val="18"/>
              </w:rPr>
              <w:t>&lt; 0,134 (modèle naïf)</w:t>
            </w:r>
          </w:p>
        </w:tc>
      </w:tr>
      <w:tr>
        <w:tc>
          <w:tcPr>
            <w:tcW w:type="dxa" w:w="1814"/>
          </w:tcPr>
          <w:p>
            <w:r>
              <w:rPr>
                <w:rFonts w:ascii="Arial" w:hAnsi="Arial"/>
                <w:i w:val="0"/>
                <w:sz w:val="18"/>
              </w:rPr>
              <w:t>Impact disparate</w:t>
            </w:r>
          </w:p>
        </w:tc>
        <w:tc>
          <w:tcPr>
            <w:tcW w:type="dxa" w:w="5556"/>
          </w:tcPr>
          <w:p>
            <w:r>
              <w:rPr>
                <w:rFonts w:ascii="Arial" w:hAnsi="Arial"/>
                <w:i w:val="0"/>
                <w:sz w:val="18"/>
              </w:rPr>
              <w:t>Taux de signalement du groupe le moins signalé ÷ celui du plus signalé</w:t>
            </w:r>
          </w:p>
        </w:tc>
        <w:tc>
          <w:tcPr>
            <w:tcW w:type="dxa" w:w="1984"/>
          </w:tcPr>
          <w:p>
            <w:r>
              <w:rPr>
                <w:rFonts w:ascii="Arial" w:hAnsi="Arial"/>
                <w:i w:val="0"/>
                <w:sz w:val="18"/>
              </w:rPr>
              <w:t>≥ 0,80 (règle des 4/5)</w:t>
            </w:r>
          </w:p>
        </w:tc>
      </w:tr>
      <w:tr>
        <w:tc>
          <w:tcPr>
            <w:tcW w:type="dxa" w:w="1814"/>
          </w:tcPr>
          <w:p>
            <w:r>
              <w:rPr>
                <w:rFonts w:ascii="Arial" w:hAnsi="Arial"/>
                <w:i w:val="0"/>
                <w:sz w:val="18"/>
              </w:rPr>
              <w:t>Égalité des chances</w:t>
            </w:r>
          </w:p>
        </w:tc>
        <w:tc>
          <w:tcPr>
            <w:tcW w:type="dxa" w:w="5556"/>
          </w:tcPr>
          <w:p>
            <w:r>
              <w:rPr>
                <w:rFonts w:ascii="Arial" w:hAnsi="Arial"/>
                <w:i w:val="0"/>
                <w:sz w:val="18"/>
              </w:rPr>
              <w:t>Écart de rappel entre groupes : les délinquants de chaque groupe sont détectés de la même façon</w:t>
            </w:r>
          </w:p>
        </w:tc>
        <w:tc>
          <w:tcPr>
            <w:tcW w:type="dxa" w:w="1984"/>
          </w:tcPr>
          <w:p>
            <w:r>
              <w:rPr>
                <w:rFonts w:ascii="Arial" w:hAnsi="Arial"/>
                <w:i w:val="0"/>
                <w:sz w:val="18"/>
              </w:rPr>
              <w:t>≤ 0,10</w:t>
            </w:r>
          </w:p>
        </w:tc>
      </w:tr>
    </w:tbl>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Accuracy : </w:t>
      </w:r>
      <w:r>
        <w:rPr>
          <w:rFonts w:ascii="Arial" w:hAnsi="Arial"/>
          <w:i w:val="0"/>
        </w:rPr>
        <w:t>elle est écartée, car un modèle qui prédit « jamais délinquant » atteint 84 % d'accuracy sans aucune utilité.</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Règle de décision : </w:t>
      </w:r>
      <w:r>
        <w:rPr>
          <w:rFonts w:ascii="Arial" w:hAnsi="Arial"/>
          <w:i w:val="0"/>
        </w:rPr>
        <w:t>si l'AUC ou le rappel n'atteint pas son seuil, le modèle n'est pas déployé : on retourne à l'étape données / variables. Si une métrique d'équité déclenche une alerte, on applique une technique de réduction des biais puis on relance l'audit.</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Détection et réduction des biais :</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Avant l'entraînement : </w:t>
      </w:r>
      <w:r>
        <w:rPr>
          <w:rFonts w:ascii="Arial" w:hAnsi="Arial"/>
          <w:i w:val="0"/>
        </w:rPr>
        <w:t>exclure les attributs sensibles (Age, Location) et vérifier les proxys (par exemple la carte Student, liée à l'âge) ; repondérer les groupes sous-représentés.</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Pendant l'entraînement : </w:t>
      </w:r>
      <w:r>
        <w:rPr>
          <w:rFonts w:ascii="Arial" w:hAnsi="Arial"/>
          <w:i w:val="0"/>
        </w:rPr>
        <w:t>contrainte d'équité (par exemple fairlearn ExponentiatedGradient avec parité démographique ou égalité des chances).</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Après l'entraînement : </w:t>
      </w:r>
      <w:r>
        <w:rPr>
          <w:rFonts w:ascii="Arial" w:hAnsi="Arial"/>
          <w:i w:val="0"/>
        </w:rPr>
        <w:t>ajustement des seuils de signalement par groupe (ThresholdOptimizer) si un groupe reste défavorisé.</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 En production : </w:t>
      </w:r>
      <w:r>
        <w:rPr>
          <w:rFonts w:ascii="Arial" w:hAnsi="Arial"/>
          <w:i w:val="0"/>
        </w:rPr>
        <w:t>audit d'équité mensuel et suivi de la dérive des données (indice PSI &gt; 0,2 ⇒ réentraînement).</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Considérations éthiques :</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Le score sert à proposer de l'aide (rappel, plan de paiement), jamais à sanctionner automatiquement : toute décision défavorable est validée par un conseiller.</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Chaque client signalé dispose de codes motifs explicables et d'un droit de contestation.</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Les clients vulnérables (chômeurs, nouveaux comptes) font l'objet d'une attention particulière pour éviter une exclusion systématique du crédit.</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 Les données personnelles sont minimisées et protégées : accès restreint, aucune variable sans lien avec la solvabilité.</w:t>
      </w:r>
    </w:p>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Application du protocole au jeu de données actuel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18"/>
            <w:shd w:val="clear" w:color="auto" w:fill="DCE6F2"/>
          </w:tcPr>
          <w:p>
            <w:r>
              <w:rPr>
                <w:rFonts w:ascii="Arial" w:hAnsi="Arial"/>
                <w:b/>
                <w:i w:val="0"/>
                <w:sz w:val="18"/>
              </w:rPr>
              <w:t>Modèle</w:t>
            </w:r>
          </w:p>
        </w:tc>
        <w:tc>
          <w:tcPr>
            <w:tcW w:type="dxa" w:w="1247"/>
            <w:shd w:val="clear" w:color="auto" w:fill="DCE6F2"/>
          </w:tcPr>
          <w:p>
            <w:r>
              <w:rPr>
                <w:rFonts w:ascii="Arial" w:hAnsi="Arial"/>
                <w:b/>
                <w:i w:val="0"/>
                <w:sz w:val="18"/>
              </w:rPr>
              <w:t>AUC</w:t>
            </w:r>
          </w:p>
        </w:tc>
        <w:tc>
          <w:tcPr>
            <w:tcW w:type="dxa" w:w="1247"/>
            <w:shd w:val="clear" w:color="auto" w:fill="DCE6F2"/>
          </w:tcPr>
          <w:p>
            <w:r>
              <w:rPr>
                <w:rFonts w:ascii="Arial" w:hAnsi="Arial"/>
                <w:b/>
                <w:i w:val="0"/>
                <w:sz w:val="18"/>
              </w:rPr>
              <w:t>Rappel</w:t>
            </w:r>
          </w:p>
        </w:tc>
        <w:tc>
          <w:tcPr>
            <w:tcW w:type="dxa" w:w="1247"/>
            <w:shd w:val="clear" w:color="auto" w:fill="DCE6F2"/>
          </w:tcPr>
          <w:p>
            <w:r>
              <w:rPr>
                <w:rFonts w:ascii="Arial" w:hAnsi="Arial"/>
                <w:b/>
                <w:i w:val="0"/>
                <w:sz w:val="18"/>
              </w:rPr>
              <w:t>Précision</w:t>
            </w:r>
          </w:p>
        </w:tc>
        <w:tc>
          <w:tcPr>
            <w:tcW w:type="dxa" w:w="1247"/>
            <w:shd w:val="clear" w:color="auto" w:fill="DCE6F2"/>
          </w:tcPr>
          <w:p>
            <w:r>
              <w:rPr>
                <w:rFonts w:ascii="Arial" w:hAnsi="Arial"/>
                <w:b/>
                <w:i w:val="0"/>
                <w:sz w:val="18"/>
              </w:rPr>
              <w:t>F1</w:t>
            </w:r>
          </w:p>
        </w:tc>
        <w:tc>
          <w:tcPr>
            <w:tcW w:type="dxa" w:w="1247"/>
            <w:shd w:val="clear" w:color="auto" w:fill="DCE6F2"/>
          </w:tcPr>
          <w:p>
            <w:r>
              <w:rPr>
                <w:rFonts w:ascii="Arial" w:hAnsi="Arial"/>
                <w:b/>
                <w:i w:val="0"/>
                <w:sz w:val="18"/>
              </w:rPr>
              <w:t>Brier</w:t>
            </w:r>
          </w:p>
        </w:tc>
      </w:tr>
      <w:tr>
        <w:tc>
          <w:tcPr>
            <w:tcW w:type="dxa" w:w="3118"/>
          </w:tcPr>
          <w:p>
            <w:r>
              <w:rPr>
                <w:rFonts w:ascii="Arial" w:hAnsi="Arial"/>
                <w:i w:val="0"/>
                <w:sz w:val="18"/>
              </w:rPr>
              <w:t>Régression logistique</w:t>
            </w:r>
          </w:p>
        </w:tc>
        <w:tc>
          <w:tcPr>
            <w:tcW w:type="dxa" w:w="1247"/>
          </w:tcPr>
          <w:p>
            <w:r>
              <w:rPr>
                <w:rFonts w:ascii="Arial" w:hAnsi="Arial"/>
                <w:i w:val="0"/>
                <w:sz w:val="18"/>
              </w:rPr>
              <w:t>0,49</w:t>
            </w:r>
          </w:p>
        </w:tc>
        <w:tc>
          <w:tcPr>
            <w:tcW w:type="dxa" w:w="1247"/>
          </w:tcPr>
          <w:p>
            <w:r>
              <w:rPr>
                <w:rFonts w:ascii="Arial" w:hAnsi="Arial"/>
                <w:i w:val="0"/>
                <w:sz w:val="18"/>
              </w:rPr>
              <w:t>0,29</w:t>
            </w:r>
          </w:p>
        </w:tc>
        <w:tc>
          <w:tcPr>
            <w:tcW w:type="dxa" w:w="1247"/>
          </w:tcPr>
          <w:p>
            <w:r>
              <w:rPr>
                <w:rFonts w:ascii="Arial" w:hAnsi="Arial"/>
                <w:i w:val="0"/>
                <w:sz w:val="18"/>
              </w:rPr>
              <w:t>0,15</w:t>
            </w:r>
          </w:p>
        </w:tc>
        <w:tc>
          <w:tcPr>
            <w:tcW w:type="dxa" w:w="1247"/>
          </w:tcPr>
          <w:p>
            <w:r>
              <w:rPr>
                <w:rFonts w:ascii="Arial" w:hAnsi="Arial"/>
                <w:i w:val="0"/>
                <w:sz w:val="18"/>
              </w:rPr>
              <w:t>0,20</w:t>
            </w:r>
          </w:p>
        </w:tc>
        <w:tc>
          <w:tcPr>
            <w:tcW w:type="dxa" w:w="1247"/>
          </w:tcPr>
          <w:p>
            <w:r>
              <w:rPr>
                <w:rFonts w:ascii="Arial" w:hAnsi="Arial"/>
                <w:i w:val="0"/>
                <w:sz w:val="18"/>
              </w:rPr>
              <w:t>0,25</w:t>
            </w:r>
          </w:p>
        </w:tc>
      </w:tr>
      <w:tr>
        <w:tc>
          <w:tcPr>
            <w:tcW w:type="dxa" w:w="3118"/>
          </w:tcPr>
          <w:p>
            <w:r>
              <w:rPr>
                <w:rFonts w:ascii="Arial" w:hAnsi="Arial"/>
                <w:i w:val="0"/>
                <w:sz w:val="18"/>
              </w:rPr>
              <w:t>Gradient boosting (challenger)</w:t>
            </w:r>
          </w:p>
        </w:tc>
        <w:tc>
          <w:tcPr>
            <w:tcW w:type="dxa" w:w="1247"/>
          </w:tcPr>
          <w:p>
            <w:r>
              <w:rPr>
                <w:rFonts w:ascii="Arial" w:hAnsi="Arial"/>
                <w:i w:val="0"/>
                <w:sz w:val="18"/>
              </w:rPr>
              <w:t>0,37</w:t>
            </w:r>
          </w:p>
        </w:tc>
        <w:tc>
          <w:tcPr>
            <w:tcW w:type="dxa" w:w="1247"/>
          </w:tcPr>
          <w:p>
            <w:r>
              <w:rPr>
                <w:rFonts w:ascii="Arial" w:hAnsi="Arial"/>
                <w:i w:val="0"/>
                <w:sz w:val="18"/>
              </w:rPr>
              <w:t>0,16</w:t>
            </w:r>
          </w:p>
        </w:tc>
        <w:tc>
          <w:tcPr>
            <w:tcW w:type="dxa" w:w="1247"/>
          </w:tcPr>
          <w:p>
            <w:r>
              <w:rPr>
                <w:rFonts w:ascii="Arial" w:hAnsi="Arial"/>
                <w:i w:val="0"/>
                <w:sz w:val="18"/>
              </w:rPr>
              <w:t>0,09</w:t>
            </w:r>
          </w:p>
        </w:tc>
        <w:tc>
          <w:tcPr>
            <w:tcW w:type="dxa" w:w="1247"/>
          </w:tcPr>
          <w:p>
            <w:r>
              <w:rPr>
                <w:rFonts w:ascii="Arial" w:hAnsi="Arial"/>
                <w:i w:val="0"/>
                <w:sz w:val="18"/>
              </w:rPr>
              <w:t>0,11</w:t>
            </w:r>
          </w:p>
        </w:tc>
        <w:tc>
          <w:tcPr>
            <w:tcW w:type="dxa" w:w="1247"/>
          </w:tcPr>
          <w:p>
            <w:r>
              <w:rPr>
                <w:rFonts w:ascii="Arial" w:hAnsi="Arial"/>
                <w:i w:val="0"/>
                <w:sz w:val="18"/>
              </w:rPr>
              <w:t>0,23</w:t>
            </w:r>
          </w:p>
        </w:tc>
      </w:tr>
      <w:tr>
        <w:tc>
          <w:tcPr>
            <w:tcW w:type="dxa" w:w="3118"/>
          </w:tcPr>
          <w:p>
            <w:r>
              <w:rPr>
                <w:rFonts w:ascii="Arial" w:hAnsi="Arial"/>
                <w:i w:val="0"/>
                <w:sz w:val="18"/>
              </w:rPr>
              <w:t>Modèle naïf</w:t>
            </w:r>
          </w:p>
        </w:tc>
        <w:tc>
          <w:tcPr>
            <w:tcW w:type="dxa" w:w="1247"/>
          </w:tcPr>
          <w:p>
            <w:r>
              <w:rPr>
                <w:rFonts w:ascii="Arial" w:hAnsi="Arial"/>
                <w:i w:val="0"/>
                <w:sz w:val="18"/>
              </w:rPr>
              <w:t>0,50</w:t>
            </w:r>
          </w:p>
        </w:tc>
        <w:tc>
          <w:tcPr>
            <w:tcW w:type="dxa" w:w="1247"/>
          </w:tcPr>
          <w:p>
            <w:r>
              <w:rPr>
                <w:rFonts w:ascii="Arial" w:hAnsi="Arial"/>
                <w:i w:val="0"/>
                <w:sz w:val="18"/>
              </w:rPr>
              <w:t>0,24</w:t>
            </w:r>
          </w:p>
        </w:tc>
        <w:tc>
          <w:tcPr>
            <w:tcW w:type="dxa" w:w="1247"/>
          </w:tcPr>
          <w:p>
            <w:r>
              <w:rPr>
                <w:rFonts w:ascii="Arial" w:hAnsi="Arial"/>
                <w:i w:val="0"/>
                <w:sz w:val="18"/>
              </w:rPr>
              <w:t>0,13</w:t>
            </w:r>
          </w:p>
        </w:tc>
        <w:tc>
          <w:tcPr>
            <w:tcW w:type="dxa" w:w="1247"/>
          </w:tcPr>
          <w:p>
            <w:r>
              <w:rPr>
                <w:rFonts w:ascii="Arial" w:hAnsi="Arial"/>
                <w:i w:val="0"/>
                <w:sz w:val="18"/>
              </w:rPr>
              <w:t>0,17</w:t>
            </w:r>
          </w:p>
        </w:tc>
        <w:tc>
          <w:tcPr>
            <w:tcW w:type="dxa" w:w="1247"/>
          </w:tcPr>
          <w:p>
            <w:r>
              <w:rPr>
                <w:rFonts w:ascii="Arial" w:hAnsi="Arial"/>
                <w:i w:val="0"/>
                <w:sz w:val="18"/>
              </w:rPr>
              <w:t>0,13</w:t>
            </w:r>
          </w:p>
        </w:tc>
      </w:tr>
    </w:tbl>
    <w:p w14:paraId="2D2F0295" w14:textId="6D40A0EA"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Interprétation : </w:t>
      </w:r>
      <w:r>
        <w:rPr>
          <w:rFonts w:ascii="Arial" w:hAnsi="Arial"/>
          <w:i w:val="0"/>
        </w:rPr>
        <w:t>aucune métrique n'atteint son seuil, et les deux modèles ne font pas mieux que le hasard. La règle de décision conclut donc « non déployable », ce qui est cohérent avec l'EDA. Côté équité, l'impact disparate passe le seuil (0,84 par âge, 0,80 par ville), mais l'écart de rappel déclenche une alerte (0,16 entre tranches d'âge, 0,11 entre villes). Avec seulement 11 à 37 délinquants par groupe, ces écarts sont peu fiables. Le cadre d'évaluation fonctionne comme prévu : il bloque un modèle qui n'apprend rien d'utile avant qu'il n'atteigne les clients. Une fois les données corrigées par Geldium, le même protocole sera relancé tel quel.</w:t>
      </w:r>
    </w:p>
    <w:sectPr w:rsidR="004B5529" w:rsidRPr="00E3111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93FDF" w14:textId="77777777" w:rsidR="00E31114" w:rsidRDefault="00E31114" w:rsidP="00E31114">
      <w:pPr>
        <w:spacing w:after="0" w:line="240" w:lineRule="auto"/>
      </w:pPr>
      <w:r>
        <w:separator/>
      </w:r>
    </w:p>
  </w:endnote>
  <w:endnote w:type="continuationSeparator" w:id="0">
    <w:p w14:paraId="45D9DEED" w14:textId="77777777" w:rsidR="00E31114" w:rsidRDefault="00E31114" w:rsidP="00E31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6222F" w14:textId="77777777" w:rsidR="00E31114" w:rsidRDefault="00E31114" w:rsidP="00E31114">
      <w:pPr>
        <w:spacing w:after="0" w:line="240" w:lineRule="auto"/>
      </w:pPr>
      <w:r>
        <w:separator/>
      </w:r>
    </w:p>
  </w:footnote>
  <w:footnote w:type="continuationSeparator" w:id="0">
    <w:p w14:paraId="5357F110" w14:textId="77777777" w:rsidR="00E31114" w:rsidRDefault="00E31114" w:rsidP="00E311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517537">
    <w:abstractNumId w:val="8"/>
  </w:num>
  <w:num w:numId="2" w16cid:durableId="662591834">
    <w:abstractNumId w:val="6"/>
  </w:num>
  <w:num w:numId="3" w16cid:durableId="788158861">
    <w:abstractNumId w:val="5"/>
  </w:num>
  <w:num w:numId="4" w16cid:durableId="645207700">
    <w:abstractNumId w:val="4"/>
  </w:num>
  <w:num w:numId="5" w16cid:durableId="1573539268">
    <w:abstractNumId w:val="7"/>
  </w:num>
  <w:num w:numId="6" w16cid:durableId="206184450">
    <w:abstractNumId w:val="3"/>
  </w:num>
  <w:num w:numId="7" w16cid:durableId="1710837754">
    <w:abstractNumId w:val="2"/>
  </w:num>
  <w:num w:numId="8" w16cid:durableId="716853685">
    <w:abstractNumId w:val="1"/>
  </w:num>
  <w:num w:numId="9" w16cid:durableId="1352419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5529"/>
    <w:rsid w:val="008237CA"/>
    <w:rsid w:val="00AA1D8D"/>
    <w:rsid w:val="00B47730"/>
    <w:rsid w:val="00CB0664"/>
    <w:rsid w:val="00E311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4E744"/>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114"/>
    <w:rPr>
      <w:i/>
      <w:iCs/>
      <w:sz w:val="20"/>
      <w:szCs w:val="20"/>
    </w:rPr>
  </w:style>
  <w:style w:type="paragraph" w:styleId="Heading1">
    <w:name w:val="heading 1"/>
    <w:basedOn w:val="Normal"/>
    <w:next w:val="Normal"/>
    <w:link w:val="Heading1Char"/>
    <w:uiPriority w:val="9"/>
    <w:qFormat/>
    <w:rsid w:val="00E31114"/>
    <w:pPr>
      <w:pBdr>
        <w:top w:val="single" w:sz="8" w:space="0" w:color="B2B2B2" w:themeColor="accent2"/>
        <w:left w:val="single" w:sz="8" w:space="0" w:color="B2B2B2" w:themeColor="accent2"/>
        <w:bottom w:val="single" w:sz="8" w:space="0" w:color="B2B2B2" w:themeColor="accent2"/>
        <w:right w:val="single" w:sz="8" w:space="0" w:color="B2B2B2" w:themeColor="accent2"/>
      </w:pBdr>
      <w:shd w:val="clear" w:color="auto" w:fill="EFEFEF" w:themeFill="accent2" w:themeFillTint="33"/>
      <w:spacing w:before="480" w:after="100" w:line="269" w:lineRule="auto"/>
      <w:contextualSpacing/>
      <w:outlineLvl w:val="0"/>
    </w:pPr>
    <w:rPr>
      <w:rFonts w:asciiTheme="majorHAnsi" w:eastAsiaTheme="majorEastAsia" w:hAnsiTheme="majorHAnsi" w:cstheme="majorBidi"/>
      <w:b/>
      <w:bCs/>
      <w:color w:val="585858" w:themeColor="accent2" w:themeShade="7F"/>
      <w:sz w:val="22"/>
      <w:szCs w:val="22"/>
    </w:rPr>
  </w:style>
  <w:style w:type="paragraph" w:styleId="Heading2">
    <w:name w:val="heading 2"/>
    <w:basedOn w:val="Normal"/>
    <w:next w:val="Normal"/>
    <w:link w:val="Heading2Char"/>
    <w:uiPriority w:val="9"/>
    <w:unhideWhenUsed/>
    <w:qFormat/>
    <w:rsid w:val="00E31114"/>
    <w:pPr>
      <w:pBdr>
        <w:top w:val="single" w:sz="4" w:space="0" w:color="B2B2B2" w:themeColor="accent2"/>
        <w:left w:val="single" w:sz="48" w:space="2" w:color="B2B2B2" w:themeColor="accent2"/>
        <w:bottom w:val="single" w:sz="4" w:space="0" w:color="B2B2B2" w:themeColor="accent2"/>
        <w:right w:val="single" w:sz="4" w:space="4" w:color="B2B2B2" w:themeColor="accent2"/>
      </w:pBdr>
      <w:spacing w:before="200" w:after="100" w:line="269" w:lineRule="auto"/>
      <w:ind w:left="144"/>
      <w:contextualSpacing/>
      <w:outlineLvl w:val="1"/>
    </w:pPr>
    <w:rPr>
      <w:rFonts w:asciiTheme="majorHAnsi" w:eastAsiaTheme="majorEastAsia" w:hAnsiTheme="majorHAnsi" w:cstheme="majorBidi"/>
      <w:b/>
      <w:bCs/>
      <w:color w:val="858585" w:themeColor="accent2" w:themeShade="BF"/>
      <w:sz w:val="22"/>
      <w:szCs w:val="22"/>
    </w:rPr>
  </w:style>
  <w:style w:type="paragraph" w:styleId="Heading3">
    <w:name w:val="heading 3"/>
    <w:basedOn w:val="Normal"/>
    <w:next w:val="Normal"/>
    <w:link w:val="Heading3Char"/>
    <w:uiPriority w:val="9"/>
    <w:unhideWhenUsed/>
    <w:qFormat/>
    <w:rsid w:val="00E31114"/>
    <w:pPr>
      <w:pBdr>
        <w:left w:val="single" w:sz="48" w:space="2" w:color="B2B2B2" w:themeColor="accent2"/>
        <w:bottom w:val="single" w:sz="4" w:space="0" w:color="B2B2B2" w:themeColor="accent2"/>
      </w:pBdr>
      <w:spacing w:before="200" w:after="100" w:line="240" w:lineRule="auto"/>
      <w:ind w:left="144"/>
      <w:contextualSpacing/>
      <w:outlineLvl w:val="2"/>
    </w:pPr>
    <w:rPr>
      <w:rFonts w:asciiTheme="majorHAnsi" w:eastAsiaTheme="majorEastAsia" w:hAnsiTheme="majorHAnsi" w:cstheme="majorBidi"/>
      <w:b/>
      <w:bCs/>
      <w:color w:val="858585" w:themeColor="accent2" w:themeShade="BF"/>
      <w:sz w:val="22"/>
      <w:szCs w:val="22"/>
    </w:rPr>
  </w:style>
  <w:style w:type="paragraph" w:styleId="Heading4">
    <w:name w:val="heading 4"/>
    <w:basedOn w:val="Normal"/>
    <w:next w:val="Normal"/>
    <w:link w:val="Heading4Char"/>
    <w:uiPriority w:val="9"/>
    <w:semiHidden/>
    <w:unhideWhenUsed/>
    <w:qFormat/>
    <w:rsid w:val="00E31114"/>
    <w:pPr>
      <w:pBdr>
        <w:left w:val="single" w:sz="4" w:space="2" w:color="B2B2B2" w:themeColor="accent2"/>
        <w:bottom w:val="single" w:sz="4" w:space="2" w:color="B2B2B2" w:themeColor="accent2"/>
      </w:pBdr>
      <w:spacing w:before="200" w:after="100" w:line="240" w:lineRule="auto"/>
      <w:ind w:left="86"/>
      <w:contextualSpacing/>
      <w:outlineLvl w:val="3"/>
    </w:pPr>
    <w:rPr>
      <w:rFonts w:asciiTheme="majorHAnsi" w:eastAsiaTheme="majorEastAsia" w:hAnsiTheme="majorHAnsi" w:cstheme="majorBidi"/>
      <w:b/>
      <w:bCs/>
      <w:color w:val="858585" w:themeColor="accent2" w:themeShade="BF"/>
      <w:sz w:val="22"/>
      <w:szCs w:val="22"/>
    </w:rPr>
  </w:style>
  <w:style w:type="paragraph" w:styleId="Heading5">
    <w:name w:val="heading 5"/>
    <w:basedOn w:val="Normal"/>
    <w:next w:val="Normal"/>
    <w:link w:val="Heading5Char"/>
    <w:uiPriority w:val="9"/>
    <w:semiHidden/>
    <w:unhideWhenUsed/>
    <w:qFormat/>
    <w:rsid w:val="00E31114"/>
    <w:pPr>
      <w:pBdr>
        <w:left w:val="dotted" w:sz="4" w:space="2" w:color="B2B2B2" w:themeColor="accent2"/>
        <w:bottom w:val="dotted" w:sz="4" w:space="2" w:color="B2B2B2" w:themeColor="accent2"/>
      </w:pBdr>
      <w:spacing w:before="200" w:after="100" w:line="240" w:lineRule="auto"/>
      <w:ind w:left="86"/>
      <w:contextualSpacing/>
      <w:outlineLvl w:val="4"/>
    </w:pPr>
    <w:rPr>
      <w:rFonts w:asciiTheme="majorHAnsi" w:eastAsiaTheme="majorEastAsia" w:hAnsiTheme="majorHAnsi" w:cstheme="majorBidi"/>
      <w:b/>
      <w:bCs/>
      <w:color w:val="858585" w:themeColor="accent2" w:themeShade="BF"/>
      <w:sz w:val="22"/>
      <w:szCs w:val="22"/>
    </w:rPr>
  </w:style>
  <w:style w:type="paragraph" w:styleId="Heading6">
    <w:name w:val="heading 6"/>
    <w:basedOn w:val="Normal"/>
    <w:next w:val="Normal"/>
    <w:link w:val="Heading6Char"/>
    <w:uiPriority w:val="9"/>
    <w:semiHidden/>
    <w:unhideWhenUsed/>
    <w:qFormat/>
    <w:rsid w:val="00E31114"/>
    <w:pPr>
      <w:pBdr>
        <w:bottom w:val="single" w:sz="4" w:space="2" w:color="E0E0E0" w:themeColor="accent2" w:themeTint="66"/>
      </w:pBdr>
      <w:spacing w:before="200" w:after="100" w:line="240" w:lineRule="auto"/>
      <w:contextualSpacing/>
      <w:outlineLvl w:val="5"/>
    </w:pPr>
    <w:rPr>
      <w:rFonts w:asciiTheme="majorHAnsi" w:eastAsiaTheme="majorEastAsia" w:hAnsiTheme="majorHAnsi" w:cstheme="majorBidi"/>
      <w:color w:val="858585" w:themeColor="accent2" w:themeShade="BF"/>
      <w:sz w:val="22"/>
      <w:szCs w:val="22"/>
    </w:rPr>
  </w:style>
  <w:style w:type="paragraph" w:styleId="Heading7">
    <w:name w:val="heading 7"/>
    <w:basedOn w:val="Normal"/>
    <w:next w:val="Normal"/>
    <w:link w:val="Heading7Char"/>
    <w:uiPriority w:val="9"/>
    <w:semiHidden/>
    <w:unhideWhenUsed/>
    <w:qFormat/>
    <w:rsid w:val="00E31114"/>
    <w:pPr>
      <w:pBdr>
        <w:bottom w:val="dotted" w:sz="4" w:space="2" w:color="D0D0D0" w:themeColor="accent2" w:themeTint="99"/>
      </w:pBdr>
      <w:spacing w:before="200" w:after="100" w:line="240" w:lineRule="auto"/>
      <w:contextualSpacing/>
      <w:outlineLvl w:val="6"/>
    </w:pPr>
    <w:rPr>
      <w:rFonts w:asciiTheme="majorHAnsi" w:eastAsiaTheme="majorEastAsia" w:hAnsiTheme="majorHAnsi" w:cstheme="majorBidi"/>
      <w:color w:val="858585" w:themeColor="accent2" w:themeShade="BF"/>
      <w:sz w:val="22"/>
      <w:szCs w:val="22"/>
    </w:rPr>
  </w:style>
  <w:style w:type="paragraph" w:styleId="Heading8">
    <w:name w:val="heading 8"/>
    <w:basedOn w:val="Normal"/>
    <w:next w:val="Normal"/>
    <w:link w:val="Heading8Char"/>
    <w:uiPriority w:val="9"/>
    <w:semiHidden/>
    <w:unhideWhenUsed/>
    <w:qFormat/>
    <w:rsid w:val="00E31114"/>
    <w:pPr>
      <w:spacing w:before="200" w:after="100" w:line="240" w:lineRule="auto"/>
      <w:contextualSpacing/>
      <w:outlineLvl w:val="7"/>
    </w:pPr>
    <w:rPr>
      <w:rFonts w:asciiTheme="majorHAnsi" w:eastAsiaTheme="majorEastAsia" w:hAnsiTheme="majorHAnsi" w:cstheme="majorBidi"/>
      <w:color w:val="B2B2B2" w:themeColor="accent2"/>
      <w:sz w:val="22"/>
      <w:szCs w:val="22"/>
    </w:rPr>
  </w:style>
  <w:style w:type="paragraph" w:styleId="Heading9">
    <w:name w:val="heading 9"/>
    <w:basedOn w:val="Normal"/>
    <w:next w:val="Normal"/>
    <w:link w:val="Heading9Char"/>
    <w:uiPriority w:val="9"/>
    <w:semiHidden/>
    <w:unhideWhenUsed/>
    <w:qFormat/>
    <w:rsid w:val="00E31114"/>
    <w:pPr>
      <w:spacing w:before="200" w:after="100" w:line="240" w:lineRule="auto"/>
      <w:contextualSpacing/>
      <w:outlineLvl w:val="8"/>
    </w:pPr>
    <w:rPr>
      <w:rFonts w:asciiTheme="majorHAnsi" w:eastAsiaTheme="majorEastAsia" w:hAnsiTheme="majorHAnsi" w:cstheme="majorBidi"/>
      <w:color w:val="B2B2B2"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E31114"/>
    <w:pPr>
      <w:spacing w:after="0" w:line="240" w:lineRule="auto"/>
    </w:pPr>
  </w:style>
  <w:style w:type="character" w:customStyle="1" w:styleId="Heading1Char">
    <w:name w:val="Heading 1 Char"/>
    <w:basedOn w:val="DefaultParagraphFont"/>
    <w:link w:val="Heading1"/>
    <w:uiPriority w:val="9"/>
    <w:rsid w:val="00E31114"/>
    <w:rPr>
      <w:rFonts w:asciiTheme="majorHAnsi" w:eastAsiaTheme="majorEastAsia" w:hAnsiTheme="majorHAnsi" w:cstheme="majorBidi"/>
      <w:b/>
      <w:bCs/>
      <w:i/>
      <w:iCs/>
      <w:color w:val="585858" w:themeColor="accent2" w:themeShade="7F"/>
      <w:shd w:val="clear" w:color="auto" w:fill="EFEFEF" w:themeFill="accent2" w:themeFillTint="33"/>
    </w:rPr>
  </w:style>
  <w:style w:type="character" w:customStyle="1" w:styleId="Heading2Char">
    <w:name w:val="Heading 2 Char"/>
    <w:basedOn w:val="DefaultParagraphFont"/>
    <w:link w:val="Heading2"/>
    <w:uiPriority w:val="9"/>
    <w:rsid w:val="00E31114"/>
    <w:rPr>
      <w:rFonts w:asciiTheme="majorHAnsi" w:eastAsiaTheme="majorEastAsia" w:hAnsiTheme="majorHAnsi" w:cstheme="majorBidi"/>
      <w:b/>
      <w:bCs/>
      <w:i/>
      <w:iCs/>
      <w:color w:val="858585" w:themeColor="accent2" w:themeShade="BF"/>
    </w:rPr>
  </w:style>
  <w:style w:type="character" w:customStyle="1" w:styleId="Heading3Char">
    <w:name w:val="Heading 3 Char"/>
    <w:basedOn w:val="DefaultParagraphFont"/>
    <w:link w:val="Heading3"/>
    <w:uiPriority w:val="9"/>
    <w:rsid w:val="00E31114"/>
    <w:rPr>
      <w:rFonts w:asciiTheme="majorHAnsi" w:eastAsiaTheme="majorEastAsia" w:hAnsiTheme="majorHAnsi" w:cstheme="majorBidi"/>
      <w:b/>
      <w:bCs/>
      <w:i/>
      <w:iCs/>
      <w:color w:val="858585" w:themeColor="accent2" w:themeShade="BF"/>
    </w:rPr>
  </w:style>
  <w:style w:type="paragraph" w:styleId="Title">
    <w:name w:val="Title"/>
    <w:basedOn w:val="Normal"/>
    <w:next w:val="Normal"/>
    <w:link w:val="TitleChar"/>
    <w:uiPriority w:val="10"/>
    <w:qFormat/>
    <w:rsid w:val="00E31114"/>
    <w:pPr>
      <w:pBdr>
        <w:top w:val="single" w:sz="48" w:space="0" w:color="B2B2B2" w:themeColor="accent2"/>
        <w:bottom w:val="single" w:sz="48" w:space="0" w:color="B2B2B2" w:themeColor="accent2"/>
      </w:pBdr>
      <w:shd w:val="clear" w:color="auto" w:fill="B2B2B2"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E31114"/>
    <w:rPr>
      <w:rFonts w:asciiTheme="majorHAnsi" w:eastAsiaTheme="majorEastAsia" w:hAnsiTheme="majorHAnsi" w:cstheme="majorBidi"/>
      <w:i/>
      <w:iCs/>
      <w:color w:val="FFFFFF" w:themeColor="background1"/>
      <w:spacing w:val="10"/>
      <w:sz w:val="48"/>
      <w:szCs w:val="48"/>
      <w:shd w:val="clear" w:color="auto" w:fill="B2B2B2" w:themeFill="accent2"/>
    </w:rPr>
  </w:style>
  <w:style w:type="paragraph" w:styleId="Subtitle">
    <w:name w:val="Subtitle"/>
    <w:basedOn w:val="Normal"/>
    <w:next w:val="Normal"/>
    <w:link w:val="SubtitleChar"/>
    <w:uiPriority w:val="11"/>
    <w:qFormat/>
    <w:rsid w:val="00E31114"/>
    <w:pPr>
      <w:pBdr>
        <w:bottom w:val="dotted" w:sz="8" w:space="10" w:color="B2B2B2" w:themeColor="accent2"/>
      </w:pBdr>
      <w:spacing w:before="200" w:after="900" w:line="240" w:lineRule="auto"/>
      <w:jc w:val="center"/>
    </w:pPr>
    <w:rPr>
      <w:rFonts w:asciiTheme="majorHAnsi" w:eastAsiaTheme="majorEastAsia" w:hAnsiTheme="majorHAnsi" w:cstheme="majorBidi"/>
      <w:color w:val="585858" w:themeColor="accent2" w:themeShade="7F"/>
      <w:sz w:val="24"/>
      <w:szCs w:val="24"/>
    </w:rPr>
  </w:style>
  <w:style w:type="character" w:customStyle="1" w:styleId="SubtitleChar">
    <w:name w:val="Subtitle Char"/>
    <w:basedOn w:val="DefaultParagraphFont"/>
    <w:link w:val="Subtitle"/>
    <w:uiPriority w:val="11"/>
    <w:rsid w:val="00E31114"/>
    <w:rPr>
      <w:rFonts w:asciiTheme="majorHAnsi" w:eastAsiaTheme="majorEastAsia" w:hAnsiTheme="majorHAnsi" w:cstheme="majorBidi"/>
      <w:i/>
      <w:iCs/>
      <w:color w:val="585858" w:themeColor="accent2" w:themeShade="7F"/>
      <w:sz w:val="24"/>
      <w:szCs w:val="24"/>
    </w:rPr>
  </w:style>
  <w:style w:type="paragraph" w:styleId="ListParagraph">
    <w:name w:val="List Paragraph"/>
    <w:basedOn w:val="Normal"/>
    <w:uiPriority w:val="34"/>
    <w:qFormat/>
    <w:rsid w:val="00E31114"/>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E31114"/>
    <w:rPr>
      <w:i w:val="0"/>
      <w:iCs w:val="0"/>
      <w:color w:val="858585" w:themeColor="accent2" w:themeShade="BF"/>
    </w:rPr>
  </w:style>
  <w:style w:type="character" w:customStyle="1" w:styleId="QuoteChar">
    <w:name w:val="Quote Char"/>
    <w:basedOn w:val="DefaultParagraphFont"/>
    <w:link w:val="Quote"/>
    <w:uiPriority w:val="29"/>
    <w:rsid w:val="00E31114"/>
    <w:rPr>
      <w:color w:val="858585" w:themeColor="accent2" w:themeShade="BF"/>
      <w:sz w:val="20"/>
      <w:szCs w:val="20"/>
    </w:rPr>
  </w:style>
  <w:style w:type="character" w:customStyle="1" w:styleId="Heading4Char">
    <w:name w:val="Heading 4 Char"/>
    <w:basedOn w:val="DefaultParagraphFont"/>
    <w:link w:val="Heading4"/>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5Char">
    <w:name w:val="Heading 5 Char"/>
    <w:basedOn w:val="DefaultParagraphFont"/>
    <w:link w:val="Heading5"/>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6Char">
    <w:name w:val="Heading 6 Char"/>
    <w:basedOn w:val="DefaultParagraphFont"/>
    <w:link w:val="Heading6"/>
    <w:uiPriority w:val="9"/>
    <w:semiHidden/>
    <w:rsid w:val="00E31114"/>
    <w:rPr>
      <w:rFonts w:asciiTheme="majorHAnsi" w:eastAsiaTheme="majorEastAsia" w:hAnsiTheme="majorHAnsi" w:cstheme="majorBidi"/>
      <w:i/>
      <w:iCs/>
      <w:color w:val="858585" w:themeColor="accent2" w:themeShade="BF"/>
    </w:rPr>
  </w:style>
  <w:style w:type="character" w:customStyle="1" w:styleId="Heading7Char">
    <w:name w:val="Heading 7 Char"/>
    <w:basedOn w:val="DefaultParagraphFont"/>
    <w:link w:val="Heading7"/>
    <w:uiPriority w:val="9"/>
    <w:semiHidden/>
    <w:rsid w:val="00E31114"/>
    <w:rPr>
      <w:rFonts w:asciiTheme="majorHAnsi" w:eastAsiaTheme="majorEastAsia" w:hAnsiTheme="majorHAnsi" w:cstheme="majorBidi"/>
      <w:i/>
      <w:iCs/>
      <w:color w:val="858585" w:themeColor="accent2" w:themeShade="BF"/>
    </w:rPr>
  </w:style>
  <w:style w:type="character" w:customStyle="1" w:styleId="Heading8Char">
    <w:name w:val="Heading 8 Char"/>
    <w:basedOn w:val="DefaultParagraphFont"/>
    <w:link w:val="Heading8"/>
    <w:uiPriority w:val="9"/>
    <w:semiHidden/>
    <w:rsid w:val="00E31114"/>
    <w:rPr>
      <w:rFonts w:asciiTheme="majorHAnsi" w:eastAsiaTheme="majorEastAsia" w:hAnsiTheme="majorHAnsi" w:cstheme="majorBidi"/>
      <w:i/>
      <w:iCs/>
      <w:color w:val="B2B2B2" w:themeColor="accent2"/>
    </w:rPr>
  </w:style>
  <w:style w:type="character" w:customStyle="1" w:styleId="Heading9Char">
    <w:name w:val="Heading 9 Char"/>
    <w:basedOn w:val="DefaultParagraphFont"/>
    <w:link w:val="Heading9"/>
    <w:uiPriority w:val="9"/>
    <w:semiHidden/>
    <w:rsid w:val="00E31114"/>
    <w:rPr>
      <w:rFonts w:asciiTheme="majorHAnsi" w:eastAsiaTheme="majorEastAsia" w:hAnsiTheme="majorHAnsi" w:cstheme="majorBidi"/>
      <w:i/>
      <w:iCs/>
      <w:color w:val="B2B2B2" w:themeColor="accent2"/>
      <w:sz w:val="20"/>
      <w:szCs w:val="20"/>
    </w:rPr>
  </w:style>
  <w:style w:type="paragraph" w:styleId="Caption">
    <w:name w:val="caption"/>
    <w:basedOn w:val="Normal"/>
    <w:next w:val="Normal"/>
    <w:uiPriority w:val="35"/>
    <w:semiHidden/>
    <w:unhideWhenUsed/>
    <w:qFormat/>
    <w:rsid w:val="00E31114"/>
    <w:rPr>
      <w:b/>
      <w:bCs/>
      <w:color w:val="858585" w:themeColor="accent2" w:themeShade="BF"/>
      <w:sz w:val="18"/>
      <w:szCs w:val="18"/>
    </w:rPr>
  </w:style>
  <w:style w:type="character" w:styleId="Strong">
    <w:name w:val="Strong"/>
    <w:uiPriority w:val="22"/>
    <w:qFormat/>
    <w:rsid w:val="00E31114"/>
    <w:rPr>
      <w:b/>
      <w:bCs/>
      <w:spacing w:val="0"/>
    </w:rPr>
  </w:style>
  <w:style w:type="character" w:styleId="Emphasis">
    <w:name w:val="Emphasis"/>
    <w:uiPriority w:val="20"/>
    <w:qFormat/>
    <w:rsid w:val="00E31114"/>
    <w:rPr>
      <w:rFonts w:asciiTheme="majorHAnsi" w:eastAsiaTheme="majorEastAsia" w:hAnsiTheme="majorHAnsi" w:cstheme="majorBidi"/>
      <w:b/>
      <w:bCs/>
      <w:i/>
      <w:iCs/>
      <w:color w:val="B2B2B2" w:themeColor="accent2"/>
      <w:bdr w:val="single" w:sz="18" w:space="0" w:color="EFEFEF" w:themeColor="accent2" w:themeTint="33"/>
      <w:shd w:val="clear" w:color="auto" w:fill="EFEFEF" w:themeFill="accent2" w:themeFillTint="33"/>
    </w:rPr>
  </w:style>
  <w:style w:type="paragraph" w:styleId="IntenseQuote">
    <w:name w:val="Intense Quote"/>
    <w:basedOn w:val="Normal"/>
    <w:next w:val="Normal"/>
    <w:link w:val="IntenseQuoteChar"/>
    <w:uiPriority w:val="30"/>
    <w:qFormat/>
    <w:rsid w:val="00E31114"/>
    <w:pPr>
      <w:pBdr>
        <w:top w:val="dotted" w:sz="8" w:space="10" w:color="B2B2B2" w:themeColor="accent2"/>
        <w:bottom w:val="dotted" w:sz="8" w:space="10" w:color="B2B2B2" w:themeColor="accent2"/>
      </w:pBdr>
      <w:spacing w:line="300" w:lineRule="auto"/>
      <w:ind w:left="2160" w:right="2160"/>
      <w:jc w:val="center"/>
    </w:pPr>
    <w:rPr>
      <w:rFonts w:asciiTheme="majorHAnsi" w:eastAsiaTheme="majorEastAsia" w:hAnsiTheme="majorHAnsi" w:cstheme="majorBidi"/>
      <w:b/>
      <w:bCs/>
      <w:color w:val="B2B2B2" w:themeColor="accent2"/>
    </w:rPr>
  </w:style>
  <w:style w:type="character" w:customStyle="1" w:styleId="IntenseQuoteChar">
    <w:name w:val="Intense Quote Char"/>
    <w:basedOn w:val="DefaultParagraphFont"/>
    <w:link w:val="IntenseQuote"/>
    <w:uiPriority w:val="30"/>
    <w:rsid w:val="00E31114"/>
    <w:rPr>
      <w:rFonts w:asciiTheme="majorHAnsi" w:eastAsiaTheme="majorEastAsia" w:hAnsiTheme="majorHAnsi" w:cstheme="majorBidi"/>
      <w:b/>
      <w:bCs/>
      <w:i/>
      <w:iCs/>
      <w:color w:val="B2B2B2" w:themeColor="accent2"/>
      <w:sz w:val="20"/>
      <w:szCs w:val="20"/>
    </w:rPr>
  </w:style>
  <w:style w:type="character" w:styleId="SubtleEmphasis">
    <w:name w:val="Subtle Emphasis"/>
    <w:uiPriority w:val="19"/>
    <w:qFormat/>
    <w:rsid w:val="00E31114"/>
    <w:rPr>
      <w:rFonts w:asciiTheme="majorHAnsi" w:eastAsiaTheme="majorEastAsia" w:hAnsiTheme="majorHAnsi" w:cstheme="majorBidi"/>
      <w:i/>
      <w:iCs/>
      <w:color w:val="B2B2B2" w:themeColor="accent2"/>
    </w:rPr>
  </w:style>
  <w:style w:type="character" w:styleId="IntenseEmphasis">
    <w:name w:val="Intense Emphasis"/>
    <w:uiPriority w:val="21"/>
    <w:qFormat/>
    <w:rsid w:val="00E31114"/>
    <w:rPr>
      <w:rFonts w:asciiTheme="majorHAnsi" w:eastAsiaTheme="majorEastAsia" w:hAnsiTheme="majorHAnsi" w:cstheme="majorBidi"/>
      <w:b/>
      <w:bCs/>
      <w:i/>
      <w:iCs/>
      <w:dstrike w:val="0"/>
      <w:color w:val="FFFFFF" w:themeColor="background1"/>
      <w:bdr w:val="single" w:sz="18" w:space="0" w:color="B2B2B2" w:themeColor="accent2"/>
      <w:shd w:val="clear" w:color="auto" w:fill="B2B2B2" w:themeFill="accent2"/>
      <w:vertAlign w:val="baseline"/>
    </w:rPr>
  </w:style>
  <w:style w:type="character" w:styleId="SubtleReference">
    <w:name w:val="Subtle Reference"/>
    <w:uiPriority w:val="31"/>
    <w:qFormat/>
    <w:rsid w:val="00E31114"/>
    <w:rPr>
      <w:i/>
      <w:iCs/>
      <w:smallCaps/>
      <w:color w:val="B2B2B2" w:themeColor="accent2"/>
      <w:u w:color="B2B2B2" w:themeColor="accent2"/>
    </w:rPr>
  </w:style>
  <w:style w:type="character" w:styleId="IntenseReference">
    <w:name w:val="Intense Reference"/>
    <w:uiPriority w:val="32"/>
    <w:qFormat/>
    <w:rsid w:val="00E31114"/>
    <w:rPr>
      <w:b/>
      <w:bCs/>
      <w:i/>
      <w:iCs/>
      <w:smallCaps/>
      <w:color w:val="B2B2B2" w:themeColor="accent2"/>
      <w:u w:color="B2B2B2" w:themeColor="accent2"/>
    </w:rPr>
  </w:style>
  <w:style w:type="character" w:styleId="BookTitle">
    <w:name w:val="Book Title"/>
    <w:uiPriority w:val="33"/>
    <w:qFormat/>
    <w:rsid w:val="00E31114"/>
    <w:rPr>
      <w:rFonts w:asciiTheme="majorHAnsi" w:eastAsiaTheme="majorEastAsia" w:hAnsiTheme="majorHAnsi" w:cstheme="majorBidi"/>
      <w:b/>
      <w:bCs/>
      <w:i/>
      <w:iCs/>
      <w:smallCaps/>
      <w:color w:val="858585" w:themeColor="accent2" w:themeShade="BF"/>
      <w:u w:val="single"/>
    </w:rPr>
  </w:style>
  <w:style w:type="paragraph" w:styleId="TOCHeading">
    <w:name w:val="TOC Heading"/>
    <w:basedOn w:val="Heading1"/>
    <w:next w:val="Normal"/>
    <w:uiPriority w:val="39"/>
    <w:semiHidden/>
    <w:unhideWhenUsed/>
    <w:qFormat/>
    <w:rsid w:val="00E3111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customStyle="1" w:styleId="NoSpacingChar">
    <w:name w:val="No Spacing Char"/>
    <w:basedOn w:val="DefaultParagraphFont"/>
    <w:link w:val="NoSpacing"/>
    <w:uiPriority w:val="1"/>
    <w:rsid w:val="00E31114"/>
    <w:rPr>
      <w:i/>
      <w:iCs/>
      <w:sz w:val="20"/>
      <w:szCs w:val="20"/>
    </w:rPr>
  </w:style>
  <w:style w:type="paragraph" w:customStyle="1" w:styleId="PersonalName">
    <w:name w:val="Personal Name"/>
    <w:basedOn w:val="Title"/>
    <w:rsid w:val="00E31114"/>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Tammy</cp:lastModifiedBy>
  <cp:revision>2</cp:revision>
  <dcterms:created xsi:type="dcterms:W3CDTF">2013-12-23T23:15:00Z</dcterms:created>
  <dcterms:modified xsi:type="dcterms:W3CDTF">2025-03-21T17:26:00Z</dcterms:modified>
  <cp:category/>
</cp:coreProperties>
</file>