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72"/>
        </w:rPr>
        <w:br/>
        <w:br/>
        <w:t>TripSky</w:t>
        <w:br/>
      </w:r>
    </w:p>
    <w:p>
      <w:pPr>
        <w:jc w:val="center"/>
      </w:pPr>
      <w:r>
        <w:rPr>
          <w:color w:val="7F8C8D"/>
          <w:sz w:val="36"/>
        </w:rPr>
        <w:t>Analyse des ventes et recommandation marketing</w:t>
      </w:r>
    </w:p>
    <w:p/>
    <w:p>
      <w:pPr>
        <w:jc w:val="center"/>
      </w:pPr>
      <w:r>
        <w:rPr>
          <w:i/>
        </w:rPr>
        <w:t>Période analysée : 01/01/2023 – 10/03/2025</w:t>
        <w:br/>
      </w:r>
      <w:r>
        <w:rPr>
          <w:i/>
        </w:rPr>
        <w:t>Date du rapport : 24/05/2026</w:t>
      </w:r>
    </w:p>
    <w:p>
      <w:r>
        <w:br w:type="page"/>
      </w:r>
    </w:p>
    <w:p>
      <w:pPr>
        <w:pStyle w:val="Heading1"/>
      </w:pPr>
      <w:r>
        <w:rPr>
          <w:color w:val="0F4C81"/>
        </w:rPr>
        <w:t>1. Problème métier</w:t>
      </w:r>
    </w:p>
    <w:p>
      <w:r>
        <w:rPr>
          <w:b w:val="0"/>
          <w:i w:val="0"/>
          <w:sz w:val="22"/>
        </w:rPr>
        <w:t>TripSky propose des voyages insolites autour de trois piliers — aventure, détente, culture — et cherche à augmenter ses ventes sur l'exercice en cours. La directrice marketing, June, veut comprendre où concentrer ses efforts pour maximiser l'impact.</w:t>
      </w:r>
    </w:p>
    <w:p>
      <w:r>
        <w:rPr>
          <w:b/>
          <w:i w:val="0"/>
          <w:sz w:val="22"/>
        </w:rPr>
        <w:t>Question analytique retenue</w:t>
      </w:r>
    </w:p>
    <w:p>
      <w:r>
        <w:rPr>
          <w:b w:val="0"/>
          <w:i/>
          <w:sz w:val="22"/>
        </w:rPr>
        <w:t>« Sur quels segments (destination × saison × type de voyage) concentrer le budget marketing pour maximiser le revenu, et quelle part du budget publicitaire actuel est sous-performante ? »</w:t>
      </w:r>
    </w:p>
    <w:p>
      <w:pPr>
        <w:pStyle w:val="Heading1"/>
      </w:pPr>
      <w:r>
        <w:rPr>
          <w:color w:val="0F4C81"/>
        </w:rPr>
        <w:t>2. Description des données</w:t>
      </w:r>
    </w:p>
    <w:p>
      <w:r>
        <w:rPr>
          <w:b w:val="0"/>
          <w:i w:val="0"/>
          <w:sz w:val="22"/>
        </w:rPr>
        <w:t>Deux jeux de données fournis par TripSky :</w:t>
      </w:r>
    </w:p>
    <w:p>
      <w:pPr>
        <w:pStyle w:val="ListBullet"/>
      </w:pPr>
      <w:r>
        <w:rPr>
          <w:sz w:val="22"/>
        </w:rPr>
        <w:t>Données clients — 798 clients après nettoyage, 16 variables (profil démographique, voyage, prix, évaluation, dates).</w:t>
      </w:r>
    </w:p>
    <w:p>
      <w:pPr>
        <w:pStyle w:val="ListBullet"/>
      </w:pPr>
      <w:r>
        <w:rPr>
          <w:sz w:val="22"/>
        </w:rPr>
        <w:t>Données entreprise — 800 jours consécutifs (01/01/2023 → 10/03/2025), agrégats journaliers (clients, revenu, dépenses pub, réservations).</w:t>
      </w:r>
    </w:p>
    <w:p>
      <w:r>
        <w:rPr>
          <w:b/>
          <w:i w:val="0"/>
          <w:sz w:val="22"/>
        </w:rPr>
        <w:t>Qualité initiale du dataset clients</w:t>
      </w:r>
    </w:p>
    <w:p>
      <w:pPr>
        <w:pStyle w:val="ListBullet"/>
      </w:pPr>
      <w:r>
        <w:rPr>
          <w:sz w:val="22"/>
        </w:rPr>
        <w:t>Quelques doublons exacts et un ID client présent en triple.</w:t>
      </w:r>
    </w:p>
    <w:p>
      <w:pPr>
        <w:pStyle w:val="ListBullet"/>
      </w:pPr>
      <w:r>
        <w:rPr>
          <w:sz w:val="22"/>
        </w:rPr>
        <w:t>3 valeurs d'âge aberrantes (220, 350, 4100) — erreurs de saisie.</w:t>
      </w:r>
    </w:p>
    <w:p>
      <w:pPr>
        <w:pStyle w:val="ListBullet"/>
      </w:pPr>
      <w:r>
        <w:rPr>
          <w:sz w:val="22"/>
        </w:rPr>
        <w:t>Valeurs manquantes éparses sur destination, type de voyage, genre, mode de paiement, dates.</w:t>
      </w:r>
    </w:p>
    <w:p>
      <w:pPr>
        <w:pStyle w:val="ListBullet"/>
      </w:pPr>
      <w:r>
        <w:rPr>
          <w:sz w:val="22"/>
        </w:rPr>
        <w:t>Incohérences de casse sur les catégories (« Culturel »/« culturel », « Aventure »/« aventure »).</w:t>
      </w:r>
    </w:p>
    <w:p>
      <w:pPr>
        <w:pStyle w:val="Heading1"/>
      </w:pPr>
      <w:r>
        <w:rPr>
          <w:color w:val="0F4C81"/>
        </w:rPr>
        <w:t>3. Nettoyage et préparation</w:t>
      </w:r>
    </w:p>
    <w:p>
      <w:pPr>
        <w:pStyle w:val="ListBullet"/>
      </w:pPr>
      <w:r>
        <w:rPr>
          <w:sz w:val="22"/>
        </w:rPr>
        <w:t>Suppression des doublons exacts et dédoublonnage par ID_Client (1ère occurrence conservée).</w:t>
      </w:r>
    </w:p>
    <w:p>
      <w:pPr>
        <w:pStyle w:val="ListBullet"/>
      </w:pPr>
      <w:r>
        <w:rPr>
          <w:sz w:val="22"/>
        </w:rPr>
        <w:t>Normalisation des catégories textuelles (Title Case, trim).</w:t>
      </w:r>
    </w:p>
    <w:p>
      <w:pPr>
        <w:pStyle w:val="ListBullet"/>
      </w:pPr>
      <w:r>
        <w:rPr>
          <w:sz w:val="22"/>
        </w:rPr>
        <w:t>Âges &gt; 100 ans recodés en valeurs manquantes plutôt que supprimés.</w:t>
      </w:r>
    </w:p>
    <w:p>
      <w:pPr>
        <w:pStyle w:val="ListBullet"/>
      </w:pPr>
      <w:r>
        <w:rPr>
          <w:sz w:val="22"/>
        </w:rPr>
        <w:t>Conversion des dates au format ISO ; création des tranches d'âge (18-25, 26-35, 36-45, 46-55, 55+) et du prix par personne.</w:t>
      </w:r>
    </w:p>
    <w:p>
      <w:pPr>
        <w:pStyle w:val="Heading1"/>
      </w:pPr>
      <w:r>
        <w:rPr>
          <w:color w:val="0F4C81"/>
        </w:rPr>
        <w:t>4. Analyse exploratoire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0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venu_par_destin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1 — Revenu total par destination.</w:t>
      </w:r>
    </w:p>
    <w:p>
      <w:r>
        <w:rPr>
          <w:b w:val="0"/>
          <w:i w:val="0"/>
          <w:sz w:val="22"/>
        </w:rPr>
        <w:t>Le top 3 des destinations capte 32 % du revenu. « Népal » est en tête.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5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2 — Revenu par saison.</w:t>
      </w:r>
    </w:p>
    <w:p>
      <w:r>
        <w:rPr>
          <w:b w:val="0"/>
          <w:i w:val="0"/>
          <w:sz w:val="22"/>
        </w:rPr>
        <w:t>La saisonnalité est marquée : la meilleure saison (Été) génère 54 % de revenu en plus que la plus faible (Printemps).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0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rrelation_pub_rev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3 — Corrélation dépenses publicitaires / revenu journalier.</w:t>
      </w:r>
    </w:p>
    <w:p>
      <w:r>
        <w:rPr>
          <w:b w:val="0"/>
          <w:i w:val="0"/>
          <w:sz w:val="22"/>
        </w:rPr>
        <w:t>La corrélation est quasi nulle (r = -0.04). Augmenter la pub un jour donné ne se traduit pas par un revenu supérieur.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2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venu_pub_mensu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4 — Évolution mensuelle du revenu et des dépenses publicitaires.</w:t>
      </w:r>
    </w:p>
    <w:p>
      <w:pPr>
        <w:pStyle w:val="Heading1"/>
      </w:pPr>
      <w:r>
        <w:rPr>
          <w:color w:val="0F4C81"/>
        </w:rPr>
        <w:t>5. Insights principaux</w:t>
      </w:r>
    </w:p>
    <w:p>
      <w:r>
        <w:rPr>
          <w:b/>
          <w:i w:val="0"/>
          <w:sz w:val="22"/>
        </w:rPr>
        <w:t>Constat 1 — Le revenu se concentre sur quelques destinations et deux saisons.</w:t>
      </w:r>
    </w:p>
    <w:p>
      <w:r>
        <w:rPr>
          <w:b w:val="0"/>
          <w:i w:val="0"/>
          <w:sz w:val="22"/>
        </w:rPr>
        <w:t>Le top 3 des destinations (Népal, Bali, France) représente 32 % du revenu. Combiné aux deux meilleures saisons (Été, Hiver), ce cœur de cible pèse 22 % du chiffre d'affaires.</w:t>
      </w:r>
    </w:p>
    <w:p>
      <w:r>
        <w:rPr>
          <w:b/>
          <w:i w:val="0"/>
          <w:sz w:val="22"/>
        </w:rPr>
        <w:t>Constat 2 — La publicité actuelle n'achète pas de revenu supplémentaire.</w:t>
      </w:r>
    </w:p>
    <w:p>
      <w:r>
        <w:rPr>
          <w:b w:val="0"/>
          <w:i w:val="0"/>
          <w:sz w:val="22"/>
        </w:rPr>
        <w:t>Sur 800 jours, la corrélation entre dépenses publicitaires et revenu est de r = -0.04. Les jours à fort budget pub ne sortent pas du lot — preuve que le ciblage et le canal pèsent plus que le montant brut.</w:t>
      </w:r>
    </w:p>
    <w:p>
      <w:r>
        <w:rPr>
          <w:b/>
          <w:i w:val="0"/>
          <w:sz w:val="22"/>
        </w:rPr>
        <w:t>Constat 3 — La satisfaction est un point de vigilance.</w:t>
      </w:r>
    </w:p>
    <w:p>
      <w:r>
        <w:rPr>
          <w:b w:val="0"/>
          <w:i w:val="0"/>
          <w:sz w:val="22"/>
        </w:rPr>
        <w:t>Note moyenne 2.48/5 ; 52 % des clients donnent une note ≤ 2. Pour une marque loisir/expérience, c'est un signal fort.</w:t>
      </w:r>
    </w:p>
    <w:p>
      <w:pPr>
        <w:pStyle w:val="Heading1"/>
      </w:pPr>
      <w:r>
        <w:rPr>
          <w:color w:val="0F4C81"/>
        </w:rPr>
        <w:t>6. Visualisation explicative &amp; recommandations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3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eatmap_recomman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5 — Matrice destination × saison, en k€ de revenu.</w:t>
      </w:r>
    </w:p>
    <w:p>
      <w:r>
        <w:rPr>
          <w:b/>
          <w:i w:val="0"/>
          <w:sz w:val="22"/>
        </w:rPr>
        <w:t>Recommandation A — Réallouer 30 % des dépenses publicitaires sous-performantes.</w:t>
      </w:r>
    </w:p>
    <w:p>
      <w:r>
        <w:rPr>
          <w:b w:val="0"/>
          <w:i w:val="0"/>
          <w:sz w:val="22"/>
        </w:rPr>
        <w:t>Sur les 20 % de jours à plus haut budget pub, le rendement n'est pas supérieur. Couper 30 % de ce budget libère environ 153 k€ par an à réinvestir en CRM, qualité, et campagnes ciblées.</w:t>
      </w:r>
    </w:p>
    <w:p>
      <w:r>
        <w:rPr>
          <w:b/>
          <w:i w:val="0"/>
          <w:sz w:val="22"/>
        </w:rPr>
        <w:t>Recommandation B — Concentrer les campagnes sur le cœur de cible.</w:t>
      </w:r>
    </w:p>
    <w:p>
      <w:r>
        <w:rPr>
          <w:b w:val="0"/>
          <w:i w:val="0"/>
          <w:sz w:val="22"/>
        </w:rPr>
        <w:t>Cibler Népal, Bali, France en Été et Hiver : ce segment pèse déjà 22 % du revenu. Une hausse de conversion de +15 % sur ce cœur représente un uplift annuel d'environ 123 k€.</w:t>
      </w:r>
    </w:p>
    <w:p>
      <w:pPr>
        <w:pStyle w:val="Heading1"/>
      </w:pPr>
      <w:r>
        <w:rPr>
          <w:color w:val="0F4C81"/>
        </w:rPr>
        <w:t>7. Limites</w:t>
      </w:r>
    </w:p>
    <w:p>
      <w:pPr>
        <w:pStyle w:val="ListBullet"/>
      </w:pPr>
      <w:r>
        <w:rPr>
          <w:sz w:val="22"/>
        </w:rPr>
        <w:t>Volume modeste : ~800 clients et ~800 jours ne permettent pas d'analyse fine par micro-segment.</w:t>
      </w:r>
    </w:p>
    <w:p>
      <w:pPr>
        <w:pStyle w:val="ListBullet"/>
      </w:pPr>
      <w:r>
        <w:rPr>
          <w:sz w:val="22"/>
        </w:rPr>
        <w:t>Pas d'identifiant de campagne publicitaire : impossible d'attribuer le revenu à un canal spécifique.</w:t>
      </w:r>
    </w:p>
    <w:p>
      <w:pPr>
        <w:pStyle w:val="ListBullet"/>
      </w:pPr>
      <w:r>
        <w:rPr>
          <w:sz w:val="22"/>
        </w:rPr>
        <w:t>Pas de coût d'acquisition par client : les économies estimées le sont à enveloppe constante.</w:t>
      </w:r>
    </w:p>
    <w:p>
      <w:pPr>
        <w:pStyle w:val="ListBullet"/>
      </w:pPr>
      <w:r>
        <w:rPr>
          <w:sz w:val="22"/>
        </w:rPr>
        <w:t>Les variables qualitatives manquantes (destination, type) ne permettent pas d'évaluer parfaitement les segments sous-représentés.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