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lancement — Amoxicilline 1 g</w:t>
      </w:r>
    </w:p>
    <w:p>
      <w:pPr>
        <w:spacing w:after="120"/>
      </w:pPr>
      <w:r>
        <w:rPr>
          <w:rFonts w:ascii="Liberation Serif" w:hAnsi="Liberation Serif" w:cs="Noto Naskh Arabic"/>
          <w:b w:val="0"/>
          <w:i/>
        </w:rPr>
        <w:t>Synthèse destinée au comité de direction.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after="120"/>
      </w:pPr>
      <w:r>
        <w:rPr>
          <w:rFonts w:ascii="Liberation Serif" w:hAnsi="Liberation Serif" w:cs="Noto Naskh Arabic"/>
          <w:b w:val="0"/>
          <w:i w:val="0"/>
        </w:rPr>
        <w:t>La stratégie de lancement s’appuie sur trois piliers : la disponibilité du produit en officine, la formation des délégués médicaux et la présence aux congrès nationaux.</w:t>
      </w:r>
    </w:p>
    <w:p>
      <w:pPr>
        <w:spacing w:after="120"/>
      </w:pPr>
      <w:r>
        <w:rPr>
          <w:rFonts w:ascii="Liberation Serif" w:hAnsi="Liberation Serif" w:cs="Noto Naskh Arabic"/>
          <w:b w:val="0"/>
          <w:i w:val="0"/>
        </w:rPr>
        <w:t>Le premier pilier exige un stock de sécurité de six semaines chez chaque grossiste répartiteur, vérifié chaque lundi par le service logistique.</w:t>
      </w:r>
    </w:p>
    <w:p>
      <w:pPr>
        <w:spacing w:after="120"/>
      </w:pPr>
      <w:r>
        <w:rPr>
          <w:rFonts w:ascii="Liberation Serif" w:hAnsi="Liberation Serif" w:cs="Noto Naskh Arabic"/>
          <w:b w:val="0"/>
          <w:i w:val="0"/>
        </w:rPr>
        <w:t>Le deuxième pilier repose sur un programme de formation de deux jours, suivi d’une évaluation écrite et d’un accompagnement terrain.</w:t>
      </w:r>
    </w:p>
    <w:p>
      <w:pPr>
        <w:spacing w:after="120"/>
      </w:pPr>
      <w:r>
        <w:rPr>
          <w:rFonts w:ascii="Liberation Serif" w:hAnsi="Liberation Serif" w:cs="Noto Naskh Arabic"/>
          <w:b w:val="0"/>
          <w:i w:val="0"/>
        </w:rPr>
        <w:t>Le troisième pilier concerne les congrès : Alger en novembre, Oran en février et Constantine en avril, avec un stand et un symposium satellite.</w:t>
      </w:r>
    </w:p>
    <w:p>
      <w:pPr>
        <w:spacing w:after="120"/>
      </w:pPr>
      <w:r>
        <w:rPr>
          <w:rFonts w:ascii="Liberation Serif" w:hAnsi="Liberation Serif" w:cs="Noto Naskh Arabic"/>
          <w:b w:val="0"/>
          <w:i w:val="0"/>
        </w:rPr>
        <w:t>Chaque pilier dispose d’un responsable, d’un budget et d’indicateurs suivis mensuellement par la direction générale.</w:t>
      </w:r>
    </w:p>
    <w:p>
      <w:pPr>
        <w:spacing w:after="120"/>
      </w:pPr>
      <w:r>
        <w:rPr>
          <w:rFonts w:ascii="Liberation Serif" w:hAnsi="Liberation Serif" w:cs="Noto Naskh Arabic"/>
          <w:b w:val="0"/>
          <w:i w:val="0"/>
        </w:rPr>
        <w:t>Les résultats du premier trimestre de commercialisation seront présentés au conseil d’administration en janvier 2027.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567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