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Rapport des affaires réglementaires — 3ᵉ trimestre 2026</w:t>
      </w:r>
    </w:p>
    <w:p>
      <w:pPr>
        <w:spacing w:after="120"/>
      </w:pPr>
      <w:r>
        <w:rPr>
          <w:rFonts w:ascii="Liberation Serif" w:hAnsi="Liberation Serif" w:cs="Noto Naskh Arabic"/>
          <w:b w:val="0"/>
          <w:i w:val="0"/>
        </w:rPr>
        <w:t>Adventum Pharma a déposé douze dossiers d’enregistrement auprès de l’ANPP entre juillet et septembre 2026.</w:t>
      </w:r>
    </w:p>
    <w:p>
      <w:pPr>
        <w:spacing w:after="120"/>
      </w:pPr>
      <w:r>
        <w:rPr>
          <w:rFonts w:ascii="Liberation Serif" w:hAnsi="Liberation Serif" w:cs="Noto Naskh Arabic"/>
          <w:b/>
          <w:i w:val="0"/>
          <w:color w:val="C00000"/>
        </w:rPr>
        <w:t xml:space="preserve">Important : </w:t>
      </w:r>
      <w:r>
        <w:rPr>
          <w:rFonts w:ascii="Liberation Serif" w:hAnsi="Liberation Serif" w:cs="Noto Naskh Arabic"/>
          <w:b w:val="0"/>
          <w:i/>
        </w:rPr>
        <w:t>L’efficacité du suivi repose sur la fiche de chaque flacon : numéro de lot, date de péremption et certificat d’analyse.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Actions prioritaires</w:t>
      </w:r>
    </w:p>
    <w:p>
      <w:pPr>
        <w:pStyle w:val="ListBullet"/>
      </w:pPr>
      <w:r>
        <w:t>Compléter le module 3 (qualité) du CTD</w:t>
      </w:r>
    </w:p>
    <w:p>
      <w:pPr>
        <w:pStyle w:val="ListBullet"/>
      </w:pPr>
      <w:r>
        <w:t>Relancer le fournisseur de l’API pour le DMF</w:t>
      </w:r>
    </w:p>
    <w:p>
      <w:pPr>
        <w:pStyle w:val="ListBullet"/>
      </w:pPr>
      <w:r>
        <w:t>Préparer la réunion du comité des prix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Liberation Serif" w:hAnsi="Liberation Serif" w:cs="Noto Naskh Arabic"/>
                <w:b/>
                <w:i w:val="0"/>
              </w:rPr>
              <w:t>Produit</w:t>
            </w:r>
          </w:p>
        </w:tc>
        <w:tc>
          <w:tcPr>
            <w:tcW w:type="dxa" w:w="2160"/>
          </w:tcPr>
          <w:p>
            <w:r/>
            <w:r>
              <w:rPr>
                <w:rFonts w:ascii="Liberation Serif" w:hAnsi="Liberation Serif" w:cs="Noto Naskh Arabic"/>
                <w:b/>
                <w:i w:val="0"/>
              </w:rPr>
              <w:t>Forme</w:t>
            </w:r>
          </w:p>
        </w:tc>
        <w:tc>
          <w:tcPr>
            <w:tcW w:type="dxa" w:w="2160"/>
          </w:tcPr>
          <w:p>
            <w:r/>
            <w:r>
              <w:rPr>
                <w:rFonts w:ascii="Liberation Serif" w:hAnsi="Liberation Serif" w:cs="Noto Naskh Arabic"/>
                <w:b/>
                <w:i w:val="0"/>
              </w:rPr>
              <w:t>Statut</w:t>
            </w:r>
          </w:p>
        </w:tc>
        <w:tc>
          <w:tcPr>
            <w:tcW w:type="dxa" w:w="2160"/>
          </w:tcPr>
          <w:p>
            <w:r/>
            <w:r>
              <w:rPr>
                <w:rFonts w:ascii="Liberation Serif" w:hAnsi="Liberation Serif" w:cs="Noto Naskh Arabic"/>
                <w:b/>
                <w:i w:val="0"/>
              </w:rPr>
              <w:t>Prix (DZD)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Liberation Serif" w:hAnsi="Liberation Serif" w:cs="Noto Naskh Arabic"/>
                <w:b w:val="0"/>
                <w:i w:val="0"/>
              </w:rPr>
              <w:t>Paracétamol 500 mg</w:t>
            </w:r>
          </w:p>
        </w:tc>
        <w:tc>
          <w:tcPr>
            <w:tcW w:type="dxa" w:w="2160"/>
          </w:tcPr>
          <w:p>
            <w:r/>
            <w:r>
              <w:rPr>
                <w:rFonts w:ascii="Liberation Serif" w:hAnsi="Liberation Serif" w:cs="Noto Naskh Arabic"/>
                <w:b w:val="0"/>
                <w:i w:val="0"/>
              </w:rPr>
              <w:t>Comprimés</w:t>
            </w:r>
          </w:p>
        </w:tc>
        <w:tc>
          <w:tcPr>
            <w:tcW w:type="dxa" w:w="2160"/>
          </w:tcPr>
          <w:p>
            <w:r/>
            <w:r>
              <w:rPr>
                <w:rFonts w:ascii="Liberation Serif" w:hAnsi="Liberation Serif" w:cs="Noto Naskh Arabic"/>
                <w:b w:val="0"/>
                <w:i w:val="0"/>
              </w:rPr>
              <w:t>Enregistré</w:t>
            </w:r>
          </w:p>
        </w:tc>
        <w:tc>
          <w:tcPr>
            <w:tcW w:type="dxa" w:w="2160"/>
          </w:tcPr>
          <w:p>
            <w:r/>
            <w:r>
              <w:rPr>
                <w:rFonts w:ascii="Liberation Serif" w:hAnsi="Liberation Serif" w:cs="Noto Naskh Arabic"/>
                <w:b w:val="0"/>
                <w:i w:val="0"/>
              </w:rPr>
              <w:t>120,50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Liberation Serif" w:hAnsi="Liberation Serif" w:cs="Noto Naskh Arabic"/>
                <w:b w:val="0"/>
                <w:i w:val="0"/>
              </w:rPr>
              <w:t>Amoxicilline 1 g</w:t>
            </w:r>
          </w:p>
        </w:tc>
        <w:tc>
          <w:tcPr>
            <w:tcW w:type="dxa" w:w="2160"/>
          </w:tcPr>
          <w:p>
            <w:r/>
            <w:r>
              <w:rPr>
                <w:rFonts w:ascii="Liberation Serif" w:hAnsi="Liberation Serif" w:cs="Noto Naskh Arabic"/>
                <w:b w:val="0"/>
                <w:i w:val="0"/>
              </w:rPr>
              <w:t>Comprimés pelliculés</w:t>
            </w:r>
          </w:p>
        </w:tc>
        <w:tc>
          <w:tcPr>
            <w:tcW w:type="dxa" w:w="2160"/>
          </w:tcPr>
          <w:p>
            <w:r/>
            <w:r>
              <w:rPr>
                <w:rFonts w:ascii="Liberation Serif" w:hAnsi="Liberation Serif" w:cs="Noto Naskh Arabic"/>
                <w:b w:val="0"/>
                <w:i w:val="0"/>
              </w:rPr>
              <w:t>En cours</w:t>
            </w:r>
          </w:p>
        </w:tc>
        <w:tc>
          <w:tcPr>
            <w:tcW w:type="dxa" w:w="2160"/>
          </w:tcPr>
          <w:p>
            <w:r/>
            <w:r>
              <w:rPr>
                <w:rFonts w:ascii="Liberation Serif" w:hAnsi="Liberation Serif" w:cs="Noto Naskh Arabic"/>
                <w:b w:val="0"/>
                <w:i w:val="0"/>
              </w:rPr>
              <w:t>345,00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Liberation Serif" w:hAnsi="Liberation Serif" w:cs="Noto Naskh Arabic"/>
                <w:b w:val="0"/>
                <w:i w:val="0"/>
              </w:rPr>
              <w:t>Ibuprofène 400 mg</w:t>
            </w:r>
          </w:p>
        </w:tc>
        <w:tc>
          <w:tcPr>
            <w:tcW w:type="dxa" w:w="2160"/>
          </w:tcPr>
          <w:p>
            <w:r/>
            <w:r>
              <w:rPr>
                <w:rFonts w:ascii="Liberation Serif" w:hAnsi="Liberation Serif" w:cs="Noto Naskh Arabic"/>
                <w:b w:val="0"/>
                <w:i w:val="0"/>
              </w:rPr>
              <w:t>Gélules</w:t>
            </w:r>
          </w:p>
        </w:tc>
        <w:tc>
          <w:tcPr>
            <w:tcW w:type="dxa" w:w="2160"/>
          </w:tcPr>
          <w:p>
            <w:r/>
            <w:r>
              <w:rPr>
                <w:rFonts w:ascii="Liberation Serif" w:hAnsi="Liberation Serif" w:cs="Noto Naskh Arabic"/>
                <w:b w:val="0"/>
                <w:i w:val="0"/>
              </w:rPr>
              <w:t>Enregistré</w:t>
            </w:r>
          </w:p>
        </w:tc>
        <w:tc>
          <w:tcPr>
            <w:tcW w:type="dxa" w:w="2160"/>
          </w:tcPr>
          <w:p>
            <w:r/>
            <w:r>
              <w:rPr>
                <w:rFonts w:ascii="Liberation Serif" w:hAnsi="Liberation Serif" w:cs="Noto Naskh Arabic"/>
                <w:b w:val="0"/>
                <w:i w:val="0"/>
              </w:rPr>
              <w:t>210,75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Délais et engagements</w:t>
      </w:r>
    </w:p>
    <w:p>
      <w:pPr>
        <w:spacing w:after="120"/>
      </w:pPr>
      <w:r>
        <w:rPr>
          <w:rFonts w:ascii="Liberation Serif" w:hAnsi="Liberation Serif" w:cs="Noto Naskh Arabic"/>
          <w:b w:val="0"/>
          <w:i w:val="0"/>
        </w:rPr>
        <w:t>Les délais réglementaires (décret exécutif n° 21-82) imposent une réponse sous quatre-vingt-dix jours ; au-delà, le dossier est réputé clos.</w:t>
      </w:r>
    </w:p>
    <w:p>
      <w:pPr>
        <w:spacing w:after="120"/>
      </w:pPr>
      <w:r>
        <w:rPr>
          <w:rFonts w:ascii="Liberation Serif" w:hAnsi="Liberation Serif" w:cs="Noto Naskh Arabic"/>
          <w:b w:val="0"/>
          <w:i w:val="0"/>
          <w:color w:val="1F4E79"/>
          <w:sz w:val="26"/>
        </w:rPr>
        <w:t>Cette œuvre collective a mobilisé l’équipe qualité, la pharmacovigilance et le service des achats : 1 250 000,00 DZD engagés, soit 8 % du budget annuel.</w:t>
      </w:r>
    </w:p>
    <w:p>
      <w:r>
        <w:drawing>
          <wp:inline xmlns:a="http://schemas.openxmlformats.org/drawingml/2006/main" xmlns:pic="http://schemas.openxmlformats.org/drawingml/2006/picture">
            <wp:extent cx="1440000" cy="14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Liberation Serif" w:hAnsi="Liberation Serif" w:cs="Noto Naskh Arabic"/>
        <w:b w:val="0"/>
        <w:i/>
        <w:color w:val="555555"/>
        <w:sz w:val="18"/>
      </w:rPr>
      <w:t>Document interne — confidentiel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erif" w:hAnsi="Liberation Serif" w:cs="Noto Naskh Arabic"/>
        <w:b w:val="0"/>
        <w:i/>
        <w:color w:val="555555"/>
        <w:sz w:val="18"/>
      </w:rPr>
      <w:t>Adventum Pharma — Direction des affaires réglementaires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