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rPr>
          <w:rFonts w:ascii="Liberation Serif" w:hAnsi="Liberation Serif" w:cs="Noto Naskh Arabic"/>
          <w:b/>
          <w:i w:val="0"/>
          <w:sz w:val="32"/>
          <w:rtl/>
          <w:bCs/>
          <w:szCs w:val="32"/>
        </w:rPr>
        <w:t>تقرير الشؤون التنظيمية للربع الثالث</w:t>
      </w:r>
    </w:p>
    <w:p>
      <w:pPr>
        <w:bidi/>
        <w:spacing w:after="120"/>
      </w:pPr>
      <w:r>
        <w:rPr>
          <w:rFonts w:ascii="Liberation Serif" w:hAnsi="Liberation Serif" w:cs="Noto Naskh Arabic"/>
          <w:b w:val="0"/>
          <w:i w:val="0"/>
          <w:rtl/>
        </w:rPr>
        <w:t>تعمل شركة أدفنتوم فارما على تسجيل الأدوية الجنيسة لدى الوكالة الوطنية للمواد الصيدلانية.</w:t>
      </w:r>
    </w:p>
    <w:p>
      <w:pPr>
        <w:bidi/>
        <w:spacing w:after="120"/>
      </w:pPr>
      <w:r>
        <w:rPr>
          <w:rFonts w:ascii="Liberation Serif" w:hAnsi="Liberation Serif" w:cs="Noto Naskh Arabic"/>
          <w:b/>
          <w:i w:val="0"/>
          <w:color w:val="C00000"/>
          <w:rtl/>
          <w:bCs/>
        </w:rPr>
        <w:t xml:space="preserve">ملاحظة هامة: </w:t>
      </w:r>
      <w:r>
        <w:rPr>
          <w:rFonts w:ascii="Liberation Serif" w:hAnsi="Liberation Serif" w:cs="Noto Naskh Arabic"/>
          <w:b w:val="0"/>
          <w:i w:val="0"/>
          <w:rtl/>
        </w:rPr>
        <w:t>بلغ عدد الملفات المودعة اثني عشر ملفا خلال الفترة من يوليو إلى سبتمبر 2026، منها ثلاثة ملفات في انتظار الرد.</w:t>
      </w:r>
    </w:p>
    <w:p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bidi/>
      </w:pPr>
      <w:r>
        <w:rPr>
          <w:rFonts w:ascii="Liberation Serif" w:hAnsi="Liberation Serif" w:cs="Noto Naskh Arabic"/>
          <w:b w:val="0"/>
          <w:i w:val="0"/>
          <w:rtl/>
        </w:rPr>
        <w:t>إعداد ملف التسجيل الكامل</w:t>
      </w:r>
    </w:p>
    <w:p>
      <w:pPr>
        <w:pStyle w:val="ListBullet"/>
        <w:bidi/>
      </w:pPr>
      <w:r>
        <w:rPr>
          <w:rFonts w:ascii="Liberation Serif" w:hAnsi="Liberation Serif" w:cs="Noto Naskh Arabic"/>
          <w:b w:val="0"/>
          <w:i w:val="0"/>
          <w:rtl/>
        </w:rPr>
        <w:t>مراجعة شهادة التحليل للدفعة الأولى</w:t>
      </w:r>
    </w:p>
    <w:p>
      <w:pPr>
        <w:pStyle w:val="ListBullet"/>
        <w:bidi/>
      </w:pPr>
      <w:r>
        <w:rPr>
          <w:rFonts w:ascii="Liberation Serif" w:hAnsi="Liberation Serif" w:cs="Noto Naskh Arabic"/>
          <w:b w:val="0"/>
          <w:i w:val="0"/>
          <w:rtl/>
        </w:rPr>
        <w:t>متابعة لجنة التسعير والتعويض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/>
                <w:i w:val="0"/>
                <w:rtl/>
                <w:bCs/>
              </w:rPr>
              <w:t>المنتج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/>
                <w:i w:val="0"/>
                <w:rtl/>
                <w:bCs/>
              </w:rPr>
              <w:t>الشكل الصيدلاني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/>
                <w:i w:val="0"/>
                <w:rtl/>
                <w:bCs/>
              </w:rPr>
              <w:t>الحالة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/>
                <w:i w:val="0"/>
                <w:rtl/>
                <w:bCs/>
              </w:rPr>
              <w:t>السعر (دج)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  <w:rtl/>
              </w:rPr>
              <w:t>باراسيتامول 500 ملغ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  <w:rtl/>
              </w:rPr>
              <w:t>أقراص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  <w:rtl/>
              </w:rPr>
              <w:t>مسجل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</w:rPr>
              <w:t>120,50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  <w:rtl/>
              </w:rPr>
              <w:t>أموكسيسيلين 1 غ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  <w:rtl/>
              </w:rPr>
              <w:t>أقراص مغلفة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  <w:rtl/>
              </w:rPr>
              <w:t>قيد الدراسة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</w:rPr>
              <w:t>345,00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  <w:rtl/>
              </w:rPr>
              <w:t>إيبوبروفين 400 ملغ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  <w:rtl/>
              </w:rPr>
              <w:t>كبسولات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  <w:rtl/>
              </w:rPr>
              <w:t>مسجل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Liberation Serif" w:hAnsi="Liberation Serif" w:cs="Noto Naskh Arabic"/>
                <w:b w:val="0"/>
                <w:i w:val="0"/>
              </w:rPr>
              <w:t>210,75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spacing w:after="120"/>
      </w:pPr>
      <w:r>
        <w:rPr>
          <w:rFonts w:ascii="Liberation Serif" w:hAnsi="Liberation Serif" w:cs="Noto Naskh Arabic"/>
          <w:b w:val="0"/>
          <w:i w:val="0"/>
          <w:rtl/>
        </w:rPr>
        <w:t>يجب احترام الآجال القانونية المحددة في المرسوم التنفيذي رقم 21-82 لا سيما فيما يخص الإجراءات الاستعجالية.</w:t>
      </w:r>
    </w:p>
    <w:p>
      <w:pPr>
        <w:bidi/>
        <w:spacing w:after="120"/>
      </w:pPr>
      <w:r>
        <w:rPr>
          <w:rFonts w:ascii="Liberation Serif" w:hAnsi="Liberation Serif" w:cs="Noto Naskh Arabic"/>
          <w:b w:val="0"/>
          <w:i w:val="0"/>
          <w:sz w:val="28"/>
          <w:rtl/>
          <w:szCs w:val="28"/>
        </w:rPr>
        <w:t>الصَّيْدَلِيَّةُ المَرْكَزِيَّةُ لِلْمُسْتَشْفَيَاتِ تُطَالِبُ بِشَهَادَةِ المُطَابَقَةِ قَبْلَ كُلِّ تَسْلِيمٍ.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  <w:r>
      <w:rPr>
        <w:rFonts w:ascii="Liberation Serif" w:hAnsi="Liberation Serif" w:cs="Noto Naskh Arabic"/>
        <w:b w:val="0"/>
        <w:i/>
        <w:color w:val="555555"/>
        <w:sz w:val="18"/>
        <w:rtl/>
        <w:szCs w:val="18"/>
      </w:rPr>
      <w:t>وثيقة داخلية — سرية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>
      <w:rPr>
        <w:rFonts w:ascii="Liberation Serif" w:hAnsi="Liberation Serif" w:cs="Noto Naskh Arabic"/>
        <w:b w:val="0"/>
        <w:i/>
        <w:color w:val="555555"/>
        <w:sz w:val="18"/>
        <w:rtl/>
        <w:szCs w:val="18"/>
      </w:rPr>
      <w:t>أدفنتوم فارما — مديرية الشؤون التنظيمية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