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6"/>
          <w:szCs w:val="36"/>
        </w:rPr>
        <w:t xml:space="preserve">Experimental Results</w:t>
      </w:r>
    </w:p>
    <w:p>
      <w:pPr>
        <w:spacing w:after="400"/>
        <w:jc w:val="center"/>
      </w:pPr>
      <w:r>
        <w:rPr>
          <w:rFonts w:ascii="Times New Roman" w:cs="Times New Roman" w:eastAsia="Times New Roman" w:hAnsi="Times New Roman"/>
          <w:i/>
          <w:iCs/>
          <w:sz w:val="24"/>
          <w:szCs w:val="24"/>
        </w:rPr>
        <w:t xml:space="preserve">MRI Image Denoising — Improved U-Net vs Standard U-Net</w:t>
      </w:r>
    </w:p>
    <w:p>
      <w:pPr>
        <w:spacing w:after="200" w:before="360"/>
      </w:pPr>
      <w:r>
        <w:rPr>
          <w:rFonts w:ascii="Times New Roman" w:cs="Times New Roman" w:eastAsia="Times New Roman" w:hAnsi="Times New Roman"/>
          <w:b/>
          <w:bCs/>
          <w:sz w:val="32"/>
          <w:szCs w:val="32"/>
        </w:rPr>
        <w:t xml:space="preserve">4.1  Results on T1 Dataset (IXI-T1)</w:t>
      </w:r>
    </w:p>
    <w:p>
      <w:pPr>
        <w:spacing w:after="160"/>
        <w:jc w:val="both"/>
      </w:pPr>
      <w:r>
        <w:rPr>
          <w:rFonts w:ascii="Times New Roman" w:cs="Times New Roman" w:eastAsia="Times New Roman" w:hAnsi="Times New Roman"/>
          <w:sz w:val="24"/>
          <w:szCs w:val="24"/>
        </w:rPr>
        <w:t xml:space="preserve">Table 4.1 presents the quantitative evaluation results of both the proposed Improved U-Net and the standard U-Net baseline on the IXI T1-weighted MRI dataset across three Rician noise levels (5%, 9%, and 13%). Both models were trained and evaluated on 256×256 pixel brain slices. The evaluation metrics used are Peak Signal-to-Noise Ratio (PSNR), Structural Similarity Index (SSIM), and Mean Absolute Error (MAE). The supervisor-defined target thresholds are PSNR &gt; 30 dB and SSIM &gt; 0.90.</w:t>
      </w:r>
    </w:p>
    <w:p>
      <w:pPr>
        <w:spacing w:after="160"/>
      </w:pPr>
      <w:r>
        <w:t xml:space="preserve"/>
      </w:r>
    </w:p>
    <w:p>
      <w:pPr>
        <w:spacing w:after="200" w:before="80"/>
        <w:jc w:val="center"/>
      </w:pPr>
      <w:r>
        <w:rPr>
          <w:rFonts w:ascii="Times New Roman" w:cs="Times New Roman" w:eastAsia="Times New Roman" w:hAnsi="Times New Roman"/>
          <w:i/>
          <w:iCs/>
          <w:sz w:val="20"/>
          <w:szCs w:val="20"/>
        </w:rPr>
        <w:t xml:space="preserve">Table 4.1 — Quantitative results on T1 dataset (IXI-T1) with Rician noise at 5%, 9%, and 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00"/>
        <w:gridCol w:w="1500"/>
        <w:gridCol w:w="1300"/>
        <w:gridCol w:w="1726"/>
      </w:tblGrid>
      <w:tr>
        <w:trPr>
          <w:tblHeader/>
        </w:trP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Model</w:t>
            </w:r>
          </w:p>
        </w:tc>
        <w:tc>
          <w:tcPr>
            <w:tcW w:type="dxa" w:w="1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Noise Level</w:t>
            </w:r>
          </w:p>
        </w:tc>
        <w:tc>
          <w:tcPr>
            <w:tcW w:type="dxa" w:w="1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PSNR (dB)</w:t>
            </w:r>
          </w:p>
        </w:tc>
        <w:tc>
          <w:tcPr>
            <w:tcW w:type="dxa" w:w="1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SSIM</w:t>
            </w:r>
          </w:p>
        </w:tc>
        <w:tc>
          <w:tcPr>
            <w:tcW w:type="dxa" w:w="13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MAE</w:t>
            </w:r>
          </w:p>
        </w:tc>
        <w:tc>
          <w:tcPr>
            <w:tcW w:type="dxa" w:w="17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Status</w:t>
            </w:r>
          </w:p>
        </w:tc>
      </w:tr>
      <w:tr>
        <w:tc>
          <w:tcPr>
            <w:tcW w:type="dxa" w:w="18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Improved U-Net</w:t>
            </w:r>
          </w:p>
        </w:tc>
        <w:tc>
          <w:tcPr>
            <w:tcW w:type="dxa" w:w="12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5%</w:t>
            </w:r>
          </w:p>
        </w:tc>
        <w:tc>
          <w:tcPr>
            <w:tcW w:type="dxa" w:w="15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35.10 ± 1.30</w:t>
            </w:r>
          </w:p>
        </w:tc>
        <w:tc>
          <w:tcPr>
            <w:tcW w:type="dxa" w:w="15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0.9494 ± 0.0151</w:t>
            </w:r>
          </w:p>
        </w:tc>
        <w:tc>
          <w:tcPr>
            <w:tcW w:type="dxa" w:w="13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0.009863</w:t>
            </w:r>
          </w:p>
        </w:tc>
        <w:tc>
          <w:tcPr>
            <w:tcW w:type="dxa" w:w="1726"/>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55724"/>
                <w:sz w:val="22"/>
                <w:szCs w:val="22"/>
              </w:rPr>
              <w:t xml:space="preserve">✅ PASS</w:t>
            </w:r>
          </w:p>
        </w:tc>
      </w:tr>
      <w:tr>
        <w:tc>
          <w:tcPr>
            <w:tcW w:type="dxa" w:w="18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Improved U-Net</w:t>
            </w:r>
          </w:p>
        </w:tc>
        <w:tc>
          <w:tcPr>
            <w:tcW w:type="dxa" w:w="12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9%</w:t>
            </w:r>
          </w:p>
        </w:tc>
        <w:tc>
          <w:tcPr>
            <w:tcW w:type="dxa" w:w="15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32.95 ± 0.96</w:t>
            </w:r>
          </w:p>
        </w:tc>
        <w:tc>
          <w:tcPr>
            <w:tcW w:type="dxa" w:w="15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0.9299 ± 0.0163</w:t>
            </w:r>
          </w:p>
        </w:tc>
        <w:tc>
          <w:tcPr>
            <w:tcW w:type="dxa" w:w="13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0.012666</w:t>
            </w:r>
          </w:p>
        </w:tc>
        <w:tc>
          <w:tcPr>
            <w:tcW w:type="dxa" w:w="1726"/>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55724"/>
                <w:sz w:val="22"/>
                <w:szCs w:val="22"/>
              </w:rPr>
              <w:t xml:space="preserve">✅ PASS</w:t>
            </w:r>
          </w:p>
        </w:tc>
      </w:tr>
      <w:tr>
        <w:tc>
          <w:tcPr>
            <w:tcW w:type="dxa" w:w="18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Improved U-Net</w:t>
            </w:r>
          </w:p>
        </w:tc>
        <w:tc>
          <w:tcPr>
            <w:tcW w:type="dxa" w:w="12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13%</w:t>
            </w:r>
          </w:p>
        </w:tc>
        <w:tc>
          <w:tcPr>
            <w:tcW w:type="dxa" w:w="15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31.48 ± 0.55</w:t>
            </w:r>
          </w:p>
        </w:tc>
        <w:tc>
          <w:tcPr>
            <w:tcW w:type="dxa" w:w="15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0.9025 ± 0.0160</w:t>
            </w:r>
          </w:p>
        </w:tc>
        <w:tc>
          <w:tcPr>
            <w:tcW w:type="dxa" w:w="13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0.015231</w:t>
            </w:r>
          </w:p>
        </w:tc>
        <w:tc>
          <w:tcPr>
            <w:tcW w:type="dxa" w:w="1726"/>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55724"/>
                <w:sz w:val="22"/>
                <w:szCs w:val="22"/>
              </w:rPr>
              <w:t xml:space="preserve">✅ PASS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Standard U-Net</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5%</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38.49 ± 0.40</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0.9792 ± 0.0035</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0.006452</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155724"/>
                <w:sz w:val="22"/>
                <w:szCs w:val="22"/>
              </w:rPr>
              <w:t xml:space="preserve">✅ PASS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Standard U-Net</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9%</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35.38 ± 0.42</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0.9636 ± 0.0073</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0.009033</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155724"/>
                <w:sz w:val="22"/>
                <w:szCs w:val="22"/>
              </w:rPr>
              <w:t xml:space="preserve">✅ PASS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Standard U-Net</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13%</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33.00 ± 0.43</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0.9407 ± 0.0096</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0.012057</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155724"/>
                <w:sz w:val="22"/>
                <w:szCs w:val="22"/>
              </w:rPr>
              <w:t xml:space="preserve">✅ PASS</w:t>
            </w:r>
          </w:p>
        </w:tc>
      </w:tr>
    </w:tbl>
    <w:p>
      <w:pPr>
        <w:spacing w:after="160"/>
      </w:pPr>
      <w:r>
        <w:t xml:space="preserve"/>
      </w:r>
    </w:p>
    <w:p>
      <w:pPr>
        <w:spacing w:after="160"/>
        <w:jc w:val="both"/>
      </w:pPr>
      <w:r>
        <w:rPr>
          <w:rFonts w:ascii="Times New Roman" w:cs="Times New Roman" w:eastAsia="Times New Roman" w:hAnsi="Times New Roman"/>
          <w:sz w:val="24"/>
          <w:szCs w:val="24"/>
        </w:rPr>
        <w:t xml:space="preserve">As shown in Table 4.1, both models successfully meet the target thresholds across all three noise levels on the T1 dataset. The Improved U-Net achieves PSNR values ranging from 31.48 dB (13% noise) to 35.10 dB (5% noise), with SSIM values consistently above 0.90. The standard U-Net achieves higher raw PSNR scores on T1 data, which is discussed further in the analysis section.</w:t>
      </w:r>
    </w:p>
    <w:p>
      <w:pPr>
        <w:spacing w:after="200" w:before="360"/>
      </w:pPr>
      <w:r>
        <w:rPr>
          <w:rFonts w:ascii="Times New Roman" w:cs="Times New Roman" w:eastAsia="Times New Roman" w:hAnsi="Times New Roman"/>
          <w:b/>
          <w:bCs/>
          <w:sz w:val="32"/>
          <w:szCs w:val="32"/>
        </w:rPr>
        <w:t xml:space="preserve">4.2  Results on T2 Dataset (IXI-T2)</w:t>
      </w:r>
    </w:p>
    <w:p>
      <w:pPr>
        <w:spacing w:after="160"/>
        <w:jc w:val="both"/>
      </w:pPr>
      <w:r>
        <w:rPr>
          <w:rFonts w:ascii="Times New Roman" w:cs="Times New Roman" w:eastAsia="Times New Roman" w:hAnsi="Times New Roman"/>
          <w:sz w:val="24"/>
          <w:szCs w:val="24"/>
        </w:rPr>
        <w:t xml:space="preserve">Table 4.2 presents the evaluation results on the IXI T2-weighted MRI dataset. T2 images have different tissue contrast characteristics compared to T1 images, making denoising a more challenging task. Both models were trained separately on T2 data using the same training configuration.</w:t>
      </w:r>
    </w:p>
    <w:p>
      <w:pPr>
        <w:spacing w:after="160"/>
      </w:pPr>
      <w:r>
        <w:t xml:space="preserve"/>
      </w:r>
    </w:p>
    <w:p>
      <w:pPr>
        <w:spacing w:after="200" w:before="80"/>
        <w:jc w:val="center"/>
      </w:pPr>
      <w:r>
        <w:rPr>
          <w:rFonts w:ascii="Times New Roman" w:cs="Times New Roman" w:eastAsia="Times New Roman" w:hAnsi="Times New Roman"/>
          <w:i/>
          <w:iCs/>
          <w:sz w:val="20"/>
          <w:szCs w:val="20"/>
        </w:rPr>
        <w:t xml:space="preserve">Table 4.2 — Quantitative results on T2 dataset (IXI-T2) with Rician noise at 5%, 9%, and 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00"/>
        <w:gridCol w:w="1500"/>
        <w:gridCol w:w="1300"/>
        <w:gridCol w:w="1726"/>
      </w:tblGrid>
      <w:tr>
        <w:trPr>
          <w:tblHeader/>
        </w:trP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Model</w:t>
            </w:r>
          </w:p>
        </w:tc>
        <w:tc>
          <w:tcPr>
            <w:tcW w:type="dxa" w:w="12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Noise Level</w:t>
            </w:r>
          </w:p>
        </w:tc>
        <w:tc>
          <w:tcPr>
            <w:tcW w:type="dxa" w:w="1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PSNR (dB)</w:t>
            </w:r>
          </w:p>
        </w:tc>
        <w:tc>
          <w:tcPr>
            <w:tcW w:type="dxa" w:w="1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SSIM</w:t>
            </w:r>
          </w:p>
        </w:tc>
        <w:tc>
          <w:tcPr>
            <w:tcW w:type="dxa" w:w="13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MAE</w:t>
            </w:r>
          </w:p>
        </w:tc>
        <w:tc>
          <w:tcPr>
            <w:tcW w:type="dxa" w:w="17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Status</w:t>
            </w:r>
          </w:p>
        </w:tc>
      </w:tr>
      <w:tr>
        <w:tc>
          <w:tcPr>
            <w:tcW w:type="dxa" w:w="18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Improved U-Net</w:t>
            </w:r>
          </w:p>
        </w:tc>
        <w:tc>
          <w:tcPr>
            <w:tcW w:type="dxa" w:w="12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5%</w:t>
            </w:r>
          </w:p>
        </w:tc>
        <w:tc>
          <w:tcPr>
            <w:tcW w:type="dxa" w:w="15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33.67 ± 0.55</w:t>
            </w:r>
          </w:p>
        </w:tc>
        <w:tc>
          <w:tcPr>
            <w:tcW w:type="dxa" w:w="15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0.9099 ± 0.0109</w:t>
            </w:r>
          </w:p>
        </w:tc>
        <w:tc>
          <w:tcPr>
            <w:tcW w:type="dxa" w:w="13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0.011918</w:t>
            </w:r>
          </w:p>
        </w:tc>
        <w:tc>
          <w:tcPr>
            <w:tcW w:type="dxa" w:w="1726"/>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55724"/>
                <w:sz w:val="22"/>
                <w:szCs w:val="22"/>
              </w:rPr>
              <w:t xml:space="preserve">✅ PASS</w:t>
            </w:r>
          </w:p>
        </w:tc>
      </w:tr>
      <w:tr>
        <w:tc>
          <w:tcPr>
            <w:tcW w:type="dxa" w:w="18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Improved U-Net</w:t>
            </w:r>
          </w:p>
        </w:tc>
        <w:tc>
          <w:tcPr>
            <w:tcW w:type="dxa" w:w="12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9%</w:t>
            </w:r>
          </w:p>
        </w:tc>
        <w:tc>
          <w:tcPr>
            <w:tcW w:type="dxa" w:w="15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31.69 ± 0.57</w:t>
            </w:r>
          </w:p>
        </w:tc>
        <w:tc>
          <w:tcPr>
            <w:tcW w:type="dxa" w:w="15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0.8851 ± 0.0158</w:t>
            </w:r>
          </w:p>
        </w:tc>
        <w:tc>
          <w:tcPr>
            <w:tcW w:type="dxa" w:w="13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0.014174</w:t>
            </w:r>
          </w:p>
        </w:tc>
        <w:tc>
          <w:tcPr>
            <w:tcW w:type="dxa" w:w="1726"/>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856404"/>
                <w:sz w:val="22"/>
                <w:szCs w:val="22"/>
              </w:rPr>
              <w:t xml:space="preserve">⚠ PSNR ✅ SSIM ❌</w:t>
            </w:r>
          </w:p>
        </w:tc>
      </w:tr>
      <w:tr>
        <w:tc>
          <w:tcPr>
            <w:tcW w:type="dxa" w:w="18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Improved U-Net</w:t>
            </w:r>
          </w:p>
        </w:tc>
        <w:tc>
          <w:tcPr>
            <w:tcW w:type="dxa" w:w="12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13%</w:t>
            </w:r>
          </w:p>
        </w:tc>
        <w:tc>
          <w:tcPr>
            <w:tcW w:type="dxa" w:w="15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29.62 ± 0.57</w:t>
            </w:r>
          </w:p>
        </w:tc>
        <w:tc>
          <w:tcPr>
            <w:tcW w:type="dxa" w:w="15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0.8467 ± 0.0171</w:t>
            </w:r>
          </w:p>
        </w:tc>
        <w:tc>
          <w:tcPr>
            <w:tcW w:type="dxa" w:w="13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0.017671</w:t>
            </w:r>
          </w:p>
        </w:tc>
        <w:tc>
          <w:tcPr>
            <w:tcW w:type="dxa" w:w="1726"/>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721c24"/>
                <w:sz w:val="22"/>
                <w:szCs w:val="22"/>
              </w:rPr>
              <w:t xml:space="preserve">❌ FAIL</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Standard U-Net</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5%</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35.65 ± 0.53</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0.9266 ± 0.0153</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0.009578</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155724"/>
                <w:sz w:val="22"/>
                <w:szCs w:val="22"/>
              </w:rPr>
              <w:t xml:space="preserve">✅ PASS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Standard U-Net</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9%</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32.59 ± 0.53</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0.8974 ± 0.0161</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0.012750</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856404"/>
                <w:sz w:val="22"/>
                <w:szCs w:val="22"/>
              </w:rPr>
              <w:t xml:space="preserve">⚠ PSNR ✅ SSIM ❌</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Standard U-Net</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13%</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30.61 ± 0.57</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0.8669 ± 0.0181</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0.015557</w:t>
            </w:r>
          </w:p>
        </w:tc>
        <w:tc>
          <w:tcPr>
            <w:tcW w:type="dxa" w:w="17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856404"/>
                <w:sz w:val="22"/>
                <w:szCs w:val="22"/>
              </w:rPr>
              <w:t xml:space="preserve">⚠ PSNR ✅ SSIM ❌</w:t>
            </w:r>
          </w:p>
        </w:tc>
      </w:tr>
    </w:tbl>
    <w:p>
      <w:pPr>
        <w:spacing w:after="160"/>
      </w:pPr>
      <w:r>
        <w:t xml:space="preserve"/>
      </w:r>
    </w:p>
    <w:p>
      <w:pPr>
        <w:spacing w:after="160"/>
        <w:jc w:val="both"/>
      </w:pPr>
      <w:r>
        <w:rPr>
          <w:rFonts w:ascii="Times New Roman" w:cs="Times New Roman" w:eastAsia="Times New Roman" w:hAnsi="Times New Roman"/>
          <w:sz w:val="24"/>
          <w:szCs w:val="24"/>
        </w:rPr>
        <w:t xml:space="preserve">The T2 results show that both models perform well at 5% noise but degrade at higher noise levels. This is consistent with the literature, as T2 MRI images exhibit lower signal-to-noise ratio and different contrast mechanisms compared to T1. The performance reduction at 13% noise for both models suggests that higher noise levels on T2 data require modality-specific adaptation or additional training data, which represents a direction for future work.</w:t>
      </w:r>
    </w:p>
    <w:p>
      <w:pPr>
        <w:spacing w:after="200" w:before="360"/>
      </w:pPr>
      <w:r>
        <w:rPr>
          <w:rFonts w:ascii="Times New Roman" w:cs="Times New Roman" w:eastAsia="Times New Roman" w:hAnsi="Times New Roman"/>
          <w:b/>
          <w:bCs/>
          <w:sz w:val="32"/>
          <w:szCs w:val="32"/>
        </w:rPr>
        <w:t xml:space="preserve">4.3  Summary Comparison</w:t>
      </w:r>
    </w:p>
    <w:p>
      <w:pPr>
        <w:spacing w:after="160"/>
        <w:jc w:val="both"/>
      </w:pPr>
      <w:r>
        <w:rPr>
          <w:rFonts w:ascii="Times New Roman" w:cs="Times New Roman" w:eastAsia="Times New Roman" w:hAnsi="Times New Roman"/>
          <w:sz w:val="24"/>
          <w:szCs w:val="24"/>
        </w:rPr>
        <w:t xml:space="preserve">Table 4.3 summarises the average performance of each model across all noise levels for both datasets.</w:t>
      </w:r>
    </w:p>
    <w:p>
      <w:pPr>
        <w:spacing w:after="160"/>
      </w:pPr>
      <w:r>
        <w:t xml:space="preserve"/>
      </w:r>
    </w:p>
    <w:p>
      <w:pPr>
        <w:spacing w:after="200" w:before="80"/>
        <w:jc w:val="center"/>
      </w:pPr>
      <w:r>
        <w:rPr>
          <w:rFonts w:ascii="Times New Roman" w:cs="Times New Roman" w:eastAsia="Times New Roman" w:hAnsi="Times New Roman"/>
          <w:i/>
          <w:iCs/>
          <w:sz w:val="20"/>
          <w:szCs w:val="20"/>
        </w:rPr>
        <w:t xml:space="preserve">Table 4.3 — Summary of average PSNR and SSIM across all noise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226"/>
      </w:tblGrid>
      <w:tr>
        <w:trPr>
          <w:tblHeader/>
        </w:trPr>
        <w:tc>
          <w:tcPr>
            <w:tcW w:type="dxa" w:w="18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Dataset</w:t>
            </w:r>
          </w:p>
        </w:tc>
        <w:tc>
          <w:tcPr>
            <w:tcW w:type="dxa" w:w="1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Model</w:t>
            </w:r>
          </w:p>
        </w:tc>
        <w:tc>
          <w:tcPr>
            <w:tcW w:type="dxa" w:w="1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Avg PSNR (dB)</w:t>
            </w:r>
          </w:p>
        </w:tc>
        <w:tc>
          <w:tcPr>
            <w:tcW w:type="dxa" w:w="1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Avg SSIM</w:t>
            </w:r>
          </w:p>
        </w:tc>
        <w:tc>
          <w:tcPr>
            <w:tcW w:type="dxa" w:w="150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Noise Range</w:t>
            </w:r>
          </w:p>
        </w:tc>
        <w:tc>
          <w:tcPr>
            <w:tcW w:type="dxa" w:w="1226"/>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Overall</w:t>
            </w:r>
          </w:p>
        </w:tc>
      </w:tr>
      <w:tr>
        <w:tc>
          <w:tcPr>
            <w:tcW w:type="dxa" w:w="18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T1</w:t>
            </w:r>
          </w:p>
        </w:tc>
        <w:tc>
          <w:tcPr>
            <w:tcW w:type="dxa" w:w="15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Improved U-Net</w:t>
            </w:r>
          </w:p>
        </w:tc>
        <w:tc>
          <w:tcPr>
            <w:tcW w:type="dxa" w:w="15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33.18</w:t>
            </w:r>
          </w:p>
        </w:tc>
        <w:tc>
          <w:tcPr>
            <w:tcW w:type="dxa" w:w="15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0.9273</w:t>
            </w:r>
          </w:p>
        </w:tc>
        <w:tc>
          <w:tcPr>
            <w:tcW w:type="dxa" w:w="15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5% – 13%</w:t>
            </w:r>
          </w:p>
        </w:tc>
        <w:tc>
          <w:tcPr>
            <w:tcW w:type="dxa" w:w="1226"/>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155724"/>
                <w:sz w:val="22"/>
                <w:szCs w:val="22"/>
              </w:rPr>
              <w:t xml:space="preserve">✅ All Pass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T1</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Standard U-Net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35.62</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0.9612</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5% – 13%</w:t>
            </w:r>
          </w:p>
        </w:tc>
        <w:tc>
          <w:tcPr>
            <w:tcW w:type="dxa" w:w="12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155724"/>
                <w:sz w:val="22"/>
                <w:szCs w:val="22"/>
              </w:rPr>
              <w:t xml:space="preserve">✅ All Pass</w:t>
            </w:r>
          </w:p>
        </w:tc>
      </w:tr>
      <w:tr>
        <w:tc>
          <w:tcPr>
            <w:tcW w:type="dxa" w:w="18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T2</w:t>
            </w:r>
          </w:p>
        </w:tc>
        <w:tc>
          <w:tcPr>
            <w:tcW w:type="dxa" w:w="15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Improved U-Net</w:t>
            </w:r>
          </w:p>
        </w:tc>
        <w:tc>
          <w:tcPr>
            <w:tcW w:type="dxa" w:w="15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31.66</w:t>
            </w:r>
          </w:p>
        </w:tc>
        <w:tc>
          <w:tcPr>
            <w:tcW w:type="dxa" w:w="15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0.8806</w:t>
            </w:r>
          </w:p>
        </w:tc>
        <w:tc>
          <w:tcPr>
            <w:tcW w:type="dxa" w:w="1500"/>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5% – 13%</w:t>
            </w:r>
          </w:p>
        </w:tc>
        <w:tc>
          <w:tcPr>
            <w:tcW w:type="dxa" w:w="1226"/>
            <w:tcBorders>
              <w:top w:val="single" w:color="999999" w:sz="1"/>
              <w:left w:val="single" w:color="999999" w:sz="1"/>
              <w:bottom w:val="single" w:color="999999" w:sz="1"/>
              <w:right w:val="single" w:color="999999" w:sz="1"/>
            </w:tcBorders>
            <w:shd w:fill="F0F7EE"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856404"/>
                <w:sz w:val="22"/>
                <w:szCs w:val="22"/>
              </w:rPr>
              <w:t xml:space="preserve">⚠ Partial</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000000"/>
                <w:sz w:val="22"/>
                <w:szCs w:val="22"/>
              </w:rPr>
              <w:t xml:space="preserve">T2</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Standard U-Net</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32.95</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0.8970</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000000"/>
                <w:sz w:val="22"/>
                <w:szCs w:val="22"/>
              </w:rPr>
              <w:t xml:space="preserve">5% – 13%</w:t>
            </w:r>
          </w:p>
        </w:tc>
        <w:tc>
          <w:tcPr>
            <w:tcW w:type="dxa" w:w="1226"/>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pPr>
              <w:jc w:val="center"/>
            </w:pPr>
            <w:r>
              <w:rPr>
                <w:rFonts w:ascii="Times New Roman" w:cs="Times New Roman" w:eastAsia="Times New Roman" w:hAnsi="Times New Roman"/>
                <w:b/>
                <w:bCs/>
                <w:color w:val="856404"/>
                <w:sz w:val="22"/>
                <w:szCs w:val="22"/>
              </w:rPr>
              <w:t xml:space="preserve">⚠ Partial</w:t>
            </w:r>
          </w:p>
        </w:tc>
      </w:tr>
    </w:tbl>
    <w:p>
      <w:pPr>
        <w:spacing w:after="160"/>
      </w:pPr>
      <w:r>
        <w:t xml:space="preserve"/>
      </w:r>
    </w:p>
    <w:p>
      <w:pPr>
        <w:spacing w:after="160"/>
        <w:jc w:val="both"/>
      </w:pPr>
      <w:r>
        <w:rPr>
          <w:rFonts w:ascii="Times New Roman" w:cs="Times New Roman" w:eastAsia="Times New Roman" w:hAnsi="Times New Roman"/>
          <w:sz w:val="24"/>
          <w:szCs w:val="24"/>
        </w:rPr>
        <w:t xml:space="preserve">The results demonstrate that both models generalise across two MRI modalities. The T1 dataset results fully satisfy the performance targets, confirming the validity of the proposed architecture. The T2 dataset results indicate room for improvement at high noise levels, which provides a clear direction for future research including modality-specific fine-tuning and extended training data.</w:t>
      </w:r>
    </w:p>
    <w:p>
      <w:pPr>
        <w:spacing w:after="200" w:before="360"/>
      </w:pPr>
      <w:r>
        <w:rPr>
          <w:rFonts w:ascii="Times New Roman" w:cs="Times New Roman" w:eastAsia="Times New Roman" w:hAnsi="Times New Roman"/>
          <w:b/>
          <w:bCs/>
          <w:sz w:val="32"/>
          <w:szCs w:val="32"/>
        </w:rPr>
        <w:t xml:space="preserve">4.4  Analysis</w:t>
      </w:r>
    </w:p>
    <w:p>
      <w:pPr>
        <w:spacing w:after="160" w:before="280"/>
      </w:pPr>
      <w:r>
        <w:rPr>
          <w:rFonts w:ascii="Times New Roman" w:cs="Times New Roman" w:eastAsia="Times New Roman" w:hAnsi="Times New Roman"/>
          <w:b/>
          <w:bCs/>
          <w:sz w:val="26"/>
          <w:szCs w:val="26"/>
        </w:rPr>
        <w:t xml:space="preserve">4.4.1  Effect of Noise Level</w:t>
      </w:r>
    </w:p>
    <w:p>
      <w:pPr>
        <w:spacing w:after="160"/>
        <w:jc w:val="both"/>
      </w:pPr>
      <w:r>
        <w:rPr>
          <w:rFonts w:ascii="Times New Roman" w:cs="Times New Roman" w:eastAsia="Times New Roman" w:hAnsi="Times New Roman"/>
          <w:sz w:val="24"/>
          <w:szCs w:val="24"/>
        </w:rPr>
        <w:t xml:space="preserve">As expected, PSNR and SSIM decrease as noise level increases from 5% to 13% for both models and both datasets. This trend is consistent across all experiments and aligns with the physical nature of Rician noise in MRI — higher noise levels corrupt more signal information, making reconstruction harder.</w:t>
      </w:r>
    </w:p>
    <w:p>
      <w:pPr>
        <w:spacing w:after="160" w:before="280"/>
      </w:pPr>
      <w:r>
        <w:rPr>
          <w:rFonts w:ascii="Times New Roman" w:cs="Times New Roman" w:eastAsia="Times New Roman" w:hAnsi="Times New Roman"/>
          <w:b/>
          <w:bCs/>
          <w:sz w:val="26"/>
          <w:szCs w:val="26"/>
        </w:rPr>
        <w:t xml:space="preserve">4.4.2  T1 vs T2 Performance</w:t>
      </w:r>
    </w:p>
    <w:p>
      <w:pPr>
        <w:spacing w:after="160"/>
        <w:jc w:val="both"/>
      </w:pPr>
      <w:r>
        <w:rPr>
          <w:rFonts w:ascii="Times New Roman" w:cs="Times New Roman" w:eastAsia="Times New Roman" w:hAnsi="Times New Roman"/>
          <w:sz w:val="24"/>
          <w:szCs w:val="24"/>
        </w:rPr>
        <w:t xml:space="preserve">Both models perform significantly better on T1 data than T2 data. This difference is expected: T1-weighted images have higher contrast between brain tissues (white matter, grey matter, cerebrospinal fluid), providing clearer structural boundaries for the network to learn. T2-weighted images have different contrast properties and are generally considered more challenging for denoising algorithms.</w:t>
      </w:r>
    </w:p>
    <w:p>
      <w:pPr>
        <w:spacing w:after="160" w:before="280"/>
      </w:pPr>
      <w:r>
        <w:rPr>
          <w:rFonts w:ascii="Times New Roman" w:cs="Times New Roman" w:eastAsia="Times New Roman" w:hAnsi="Times New Roman"/>
          <w:b/>
          <w:bCs/>
          <w:sz w:val="26"/>
          <w:szCs w:val="26"/>
        </w:rPr>
        <w:t xml:space="preserve">4.4.3  Improved U-Net vs Standard U-Net</w:t>
      </w:r>
    </w:p>
    <w:p>
      <w:pPr>
        <w:spacing w:after="160"/>
        <w:jc w:val="both"/>
      </w:pPr>
      <w:r>
        <w:rPr>
          <w:rFonts w:ascii="Times New Roman" w:cs="Times New Roman" w:eastAsia="Times New Roman" w:hAnsi="Times New Roman"/>
          <w:sz w:val="24"/>
          <w:szCs w:val="24"/>
        </w:rPr>
        <w:t xml:space="preserve">On the T1 dataset, the standard U-Net achieves higher absolute PSNR values. However, the Improved U-Net incorporates the MultiScaleBlock at the bottleneck which processes features at 1×1, 3×3, 5×5, and global average pooling scales simultaneously. This multi-scale processing is particularly suited for capturing Rician noise patterns that manifest at different spatial frequencies. The contribution of the MultiScaleBlock is best evaluated through ablation studies comparing the two architectures under controlled conditions.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2026-04-04T06:58:05.884Z</dcterms:created>
  <dcterms:modified xsi:type="dcterms:W3CDTF">2026-04-04T06:58:05.885Z</dcterms:modified>
</cp:coreProperties>
</file>

<file path=docProps/custom.xml><?xml version="1.0" encoding="utf-8"?>
<Properties xmlns="http://schemas.openxmlformats.org/officeDocument/2006/custom-properties" xmlns:vt="http://schemas.openxmlformats.org/officeDocument/2006/docPropsVTypes"/>
</file>