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Étape 10 : Intérêt labo (non opérationnel)</w:t>
      </w:r>
    </w:p>
    <w:p>
      <w:pPr>
        <w:spacing w:before="240" w:after="360"/>
        <w:jc w:val="center"/>
      </w:pPr>
      <w:r>
        <w:rPr>
          <w:i/>
          <w:iCs/>
          <w:sz w:val="22"/>
          <w:szCs w:val="22"/>
        </w:rPr>
        <w:t xml:space="preserve">Pourquoi utiliser le rooting en environnement de test contrôlé</w:t>
      </w:r>
    </w:p>
    <w:p>
      <w:pPr>
        <w:spacing w:before="240" w:after="360"/>
      </w:pPr>
      <w:r>
        <w:rPr>
          <w:b/>
          <w:bCs/>
          <w:sz w:val="26"/>
          <w:szCs w:val="26"/>
        </w:rPr>
        <w:t xml:space="preserve">En labo, un environnement privilégié peut aider à...</w:t>
      </w:r>
    </w:p>
    <w:p>
      <w:pPr>
        <w:pStyle w:val="ListParagraph"/>
        <w:numPr>
          <w:ilvl w:val="0"/>
          <w:numId w:val="2"/>
        </w:numPr>
        <w:spacing w:after="180"/>
      </w:pPr>
      <w:r>
        <w:rPr>
          <w:b/>
          <w:bCs/>
          <w:sz w:val="24"/>
          <w:szCs w:val="24"/>
        </w:rPr>
        <w:t xml:space="preserve">Observer des artefacts système normalement inaccessibles</w:t>
      </w:r>
    </w:p>
    <w:p>
      <w:pPr>
        <w:spacing w:after="240"/>
        <w:ind w:left="720"/>
      </w:pPr>
      <w:r>
        <w:t xml:space="preserve">Avec les privilèges root, les auditeurs peuvent accéder aux fichiers système protégés, aux bases de données des applications, aux logs système détaillés, et aux répertoires normalement restreints. Cela permet d'analyser comment l'application stocke les données sensibles et interagit avec le système d'exploitation.</w:t>
      </w:r>
    </w:p>
    <w:p>
      <w:pPr>
        <w:pStyle w:val="ListParagraph"/>
        <w:numPr>
          <w:ilvl w:val="0"/>
          <w:numId w:val="2"/>
        </w:numPr>
        <w:spacing w:after="180"/>
      </w:pPr>
      <w:r>
        <w:rPr>
          <w:b/>
          <w:bCs/>
          <w:sz w:val="24"/>
          <w:szCs w:val="24"/>
        </w:rPr>
        <w:t xml:space="preserve">Analyser les comportements runtime de l'application à bas niveau</w:t>
      </w:r>
    </w:p>
    <w:p>
      <w:pPr>
        <w:spacing w:after="240"/>
        <w:ind w:left="720"/>
      </w:pPr>
      <w:r>
        <w:t xml:space="preserve">Le rooting permet d'utiliser des outils d'analyse dynamique comme Frida pour inspecter la mémoire en temps réel, tracer les appels système, intercepter les fonctions cryptographiques, et observer les communications réseau au niveau du système. Ces analyses sont impossibles sans privilèges élevés.</w:t>
      </w:r>
    </w:p>
    <w:p>
      <w:pPr>
        <w:pStyle w:val="ListParagraph"/>
        <w:numPr>
          <w:ilvl w:val="0"/>
          <w:numId w:val="2"/>
        </w:numPr>
        <w:spacing w:after="180"/>
      </w:pPr>
      <w:r>
        <w:rPr>
          <w:b/>
          <w:bCs/>
          <w:sz w:val="24"/>
          <w:szCs w:val="24"/>
        </w:rPr>
        <w:t xml:space="preserve">Tester la robustesse du stockage face à un attaquant privilégié</w:t>
      </w:r>
    </w:p>
    <w:p>
      <w:pPr>
        <w:spacing w:after="360"/>
        <w:ind w:left="720"/>
      </w:pPr>
      <w:r>
        <w:t xml:space="preserve">En simulant un attaquant ayant obtenu les privilèges root, on peut vérifier si l'application implémente correctement le chiffrement de ses données sensibles. Une bonne pratique de sécurité implique que même avec un accès root, les données critiques restent chiffrées et inutilisables sans les clés appropriées.</w:t>
      </w:r>
    </w:p>
    <w:p>
      <w:pPr>
        <w:spacing w:before="360" w:after="180"/>
      </w:pPr>
      <w:r>
        <w:rPr>
          <w:b/>
          <w:bCs/>
          <w:sz w:val="26"/>
          <w:szCs w:val="26"/>
        </w:rPr>
        <w:t xml:space="preserve">Cas d'usage concret</w:t>
      </w:r>
    </w:p>
    <w:p>
      <w:pPr>
        <w:pBdr>
          <w:left w:val="single" w:color="4CAF50" w:sz="12" w:space="4"/>
        </w:pBdr>
        <w:shd w:fill="F1F8F4"/>
        <w:spacing w:after="360"/>
        <w:ind w:left="240"/>
      </w:pPr>
      <w:r>
        <w:rPr>
          <w:i/>
          <w:iCs/>
        </w:rPr>
        <w:t xml:space="preserve">Par exemple, avec les privilèges root, vous pouvez examiner comment une application stocke ses données sensibles et vérifier si elle se repose uniquement sur la protection du système (mauvaise pratique) ou si elle implémente son propre chiffrement (bonne pratique).</w:t>
      </w:r>
    </w:p>
    <w:p>
      <w:pPr>
        <w:spacing w:before="240" w:after="180"/>
      </w:pPr>
      <w:r>
        <w:rPr>
          <w:b/>
          <w:bCs/>
          <w:sz w:val="26"/>
          <w:szCs w:val="26"/>
        </w:rPr>
        <w:t xml:space="preserve">Scénarios de test</w:t>
      </w:r>
    </w:p>
    <w:p>
      <w:pPr>
        <w:spacing w:after="120"/>
      </w:pPr>
      <w:r>
        <w:rPr>
          <w:b/>
          <w:bCs/>
          <w:color w:val="F44336"/>
        </w:rPr>
        <w:t xml:space="preserve">❌ Mauvaise pratique détectée :</w:t>
      </w:r>
    </w:p>
    <w:p>
      <w:pPr>
        <w:spacing w:after="240"/>
        <w:ind w:left="360"/>
      </w:pPr>
      <w:r>
        <w:t xml:space="preserve">L'application stocke les mots de passe, tokens d'authentification ou données de carte bancaire en clair dans des fichiers ou bases de données SQLite. Avec root, ces données sont immédiatement lisibles.</w:t>
      </w:r>
    </w:p>
    <w:p>
      <w:pPr>
        <w:spacing w:after="120"/>
      </w:pPr>
      <w:r>
        <w:rPr>
          <w:b/>
          <w:bCs/>
          <w:color w:val="4CAF50"/>
        </w:rPr>
        <w:t xml:space="preserve">✅ Bonne pratique vérifiée :</w:t>
      </w:r>
    </w:p>
    <w:p>
      <w:pPr>
        <w:spacing w:after="360"/>
        <w:ind w:left="360"/>
      </w:pPr>
      <w:r>
        <w:t xml:space="preserve">L'application chiffre toutes les données sensibles avec des clés stockées dans l'Android Keystore (sécurisé au niveau matériel). Même avec root, les données restent chiffrées et inutilisables sans déverrouiller l'appareil.</w:t>
      </w:r>
    </w:p>
    <w:p>
      <w:pPr>
        <w:spacing w:before="360" w:after="180"/>
      </w:pPr>
      <w:r>
        <w:rPr>
          <w:b/>
          <w:bCs/>
          <w:color w:val="FF9800"/>
          <w:sz w:val="26"/>
          <w:szCs w:val="26"/>
        </w:rPr>
        <w:t xml:space="preserve">⚠️ Rappel important</w:t>
      </w:r>
    </w:p>
    <w:p>
      <w:pPr>
        <w:pBdr>
          <w:top w:val="single" w:color="FF9800" w:sz="6"/>
          <w:bottom w:val="single" w:color="FF9800" w:sz="6"/>
          <w:left w:val="single" w:color="FF9800" w:sz="6"/>
          <w:right w:val="single" w:color="FF9800" w:sz="6"/>
        </w:pBdr>
        <w:shd w:fill="FFF8E1"/>
        <w:spacing w:after="360"/>
        <w:ind w:left="240" w:right="240"/>
      </w:pPr>
      <w:r>
        <w:rPr>
          <w:b/>
          <w:bCs/>
        </w:rPr>
        <w:t xml:space="preserve">Mentionner "labo autorisé uniquement"</w:t>
      </w:r>
      <w:r>
        <w:t xml:space="preserve">
Le rooting doit UNIQUEMENT être effectué dans un environnement de laboratoire dédié et isolé, jamais sur des appareils en production ou personnels. Toute utilisation doit être documentée et autorisée explicitement.</w:t>
      </w:r>
    </w:p>
    <w:p>
      <w:pPr>
        <w:spacing w:before="360" w:after="180"/>
      </w:pPr>
      <w:r>
        <w:rPr>
          <w:b/>
          <w:bCs/>
          <w:sz w:val="26"/>
          <w:szCs w:val="26"/>
        </w:rPr>
        <w:t xml:space="preserve">Contexte légal</w:t>
      </w:r>
    </w:p>
    <w:p>
      <w:pPr>
        <w:pBdr>
          <w:left w:val="single" w:color="F44336" w:sz="12" w:space="4"/>
        </w:pBdr>
        <w:shd w:fill="FFEBEE"/>
        <w:spacing w:after="360"/>
        <w:ind w:left="240"/>
      </w:pPr>
      <w:r>
        <w:rPr>
          <w:i/>
          <w:iCs/>
        </w:rPr>
        <w:t xml:space="preserve">Dans certains pays, le rooting peut violer les conditions d'utilisation du fabricant ou même des lois sur la protection des mesures techniques. Assurez-vous toujours d'avoir l'autorisation explicite pour ces tests.</w:t>
      </w:r>
    </w:p>
    <w:p>
      <w:pPr>
        <w:spacing w:before="360" w:after="180"/>
      </w:pPr>
      <w:r>
        <w:rPr>
          <w:b/>
          <w:bCs/>
          <w:sz w:val="26"/>
          <w:szCs w:val="26"/>
        </w:rPr>
        <w:t xml:space="preserve">Liste de vérification avant rooting</w:t>
      </w:r>
    </w:p>
    <w:p>
      <w:pPr>
        <w:pStyle w:val="ListParagraph"/>
        <w:numPr>
          <w:ilvl w:val="0"/>
          <w:numId w:val="3"/>
        </w:numPr>
        <w:spacing w:after="120"/>
      </w:pPr>
      <w:r>
        <w:rPr>
          <w:b/>
          <w:bCs/>
        </w:rPr>
        <w:t xml:space="preserve">✓ Autorisation écrite : </w:t>
      </w:r>
      <w:r>
        <w:t xml:space="preserve">Obtenir l'accord explicite du client/propriétaire de l'application</w:t>
      </w:r>
    </w:p>
    <w:p>
      <w:pPr>
        <w:pStyle w:val="ListParagraph"/>
        <w:numPr>
          <w:ilvl w:val="0"/>
          <w:numId w:val="3"/>
        </w:numPr>
        <w:spacing w:after="120"/>
      </w:pPr>
      <w:r>
        <w:rPr>
          <w:b/>
          <w:bCs/>
        </w:rPr>
        <w:t xml:space="preserve">✓ Environnement dédié : </w:t>
      </w:r>
      <w:r>
        <w:t xml:space="preserve">Utiliser uniquement des appareils de laboratoire isolés</w:t>
      </w:r>
    </w:p>
    <w:p>
      <w:pPr>
        <w:pStyle w:val="ListParagraph"/>
        <w:numPr>
          <w:ilvl w:val="0"/>
          <w:numId w:val="3"/>
        </w:numPr>
        <w:spacing w:after="120"/>
      </w:pPr>
      <w:r>
        <w:rPr>
          <w:b/>
          <w:bCs/>
        </w:rPr>
        <w:t xml:space="preserve">✓ Données fictives : </w:t>
      </w:r>
      <w:r>
        <w:t xml:space="preserve">Ne jamais utiliser de vraies données utilisateur</w:t>
      </w:r>
    </w:p>
    <w:p>
      <w:pPr>
        <w:pStyle w:val="ListParagraph"/>
        <w:numPr>
          <w:ilvl w:val="0"/>
          <w:numId w:val="3"/>
        </w:numPr>
        <w:spacing w:after="120"/>
      </w:pPr>
      <w:r>
        <w:rPr>
          <w:b/>
          <w:bCs/>
        </w:rPr>
        <w:t xml:space="preserve">✓ Documentation complète : </w:t>
      </w:r>
      <w:r>
        <w:t xml:space="preserve">Tracer toutes les actions effectuées pendant l'audit</w:t>
      </w:r>
    </w:p>
    <w:p>
      <w:pPr>
        <w:pStyle w:val="ListParagraph"/>
        <w:numPr>
          <w:ilvl w:val="0"/>
          <w:numId w:val="3"/>
        </w:numPr>
        <w:spacing w:after="120"/>
      </w:pPr>
      <w:r>
        <w:rPr>
          <w:b/>
          <w:bCs/>
        </w:rPr>
        <w:t xml:space="preserve">✓ Nettoyage post-audit : </w:t>
      </w:r>
      <w:r>
        <w:t xml:space="preserve">Réinitialiser complètement l'appareil après les tests</w:t>
      </w:r>
    </w:p>
    <w:p>
      <w:pPr>
        <w:pStyle w:val="ListParagraph"/>
        <w:numPr>
          <w:ilvl w:val="0"/>
          <w:numId w:val="3"/>
        </w:numPr>
        <w:spacing w:after="360"/>
      </w:pPr>
      <w:r>
        <w:rPr>
          <w:b/>
          <w:bCs/>
        </w:rPr>
        <w:t xml:space="preserve">✓ Conformité juridique : </w:t>
      </w:r>
      <w:r>
        <w:t xml:space="preserve">Vérifier la légalité du rooting dans votre juridiction</w:t>
      </w:r>
    </w:p>
    <w:p>
      <w:pPr>
        <w:spacing w:before="360" w:after="180"/>
      </w:pPr>
      <w:r>
        <w:rPr>
          <w:b/>
          <w:bCs/>
          <w:sz w:val="26"/>
          <w:szCs w:val="26"/>
        </w:rPr>
        <w:t xml:space="preserve">Outils typiques utilisés en labo rooté</w:t>
      </w:r>
    </w:p>
    <w:p>
      <w:pPr>
        <w:pStyle w:val="ListParagraph"/>
        <w:numPr>
          <w:ilvl w:val="0"/>
          <w:numId w:val="3"/>
        </w:numPr>
        <w:spacing w:after="120"/>
      </w:pPr>
      <w:r>
        <w:rPr>
          <w:b/>
          <w:bCs/>
        </w:rPr>
        <w:t xml:space="preserve">Frida : </w:t>
      </w:r>
      <w:r>
        <w:t xml:space="preserve">Framework d'instrumentation dynamique pour inspecter et modifier le comportement des applications</w:t>
      </w:r>
    </w:p>
    <w:p>
      <w:pPr>
        <w:pStyle w:val="ListParagraph"/>
        <w:numPr>
          <w:ilvl w:val="0"/>
          <w:numId w:val="3"/>
        </w:numPr>
        <w:spacing w:after="120"/>
      </w:pPr>
      <w:r>
        <w:rPr>
          <w:b/>
          <w:bCs/>
        </w:rPr>
        <w:t xml:space="preserve">Objection : </w:t>
      </w:r>
      <w:r>
        <w:t xml:space="preserve">Outil basé sur Frida pour l'exploration runtime des applications mobiles</w:t>
      </w:r>
    </w:p>
    <w:p>
      <w:pPr>
        <w:pStyle w:val="ListParagraph"/>
        <w:numPr>
          <w:ilvl w:val="0"/>
          <w:numId w:val="3"/>
        </w:numPr>
        <w:spacing w:after="120"/>
      </w:pPr>
      <w:r>
        <w:rPr>
          <w:b/>
          <w:bCs/>
        </w:rPr>
        <w:t xml:space="preserve">SQLite browser : </w:t>
      </w:r>
      <w:r>
        <w:t xml:space="preserve">Pour examiner les bases de données des applications</w:t>
      </w:r>
    </w:p>
    <w:p>
      <w:pPr>
        <w:pStyle w:val="ListParagraph"/>
        <w:numPr>
          <w:ilvl w:val="0"/>
          <w:numId w:val="3"/>
        </w:numPr>
        <w:spacing w:after="120"/>
      </w:pPr>
      <w:r>
        <w:rPr>
          <w:b/>
          <w:bCs/>
        </w:rPr>
        <w:t xml:space="preserve">Xposed Framework : </w:t>
      </w:r>
      <w:r>
        <w:t xml:space="preserve">Pour modifier le comportement du système et des applications sans recompilation</w:t>
      </w:r>
    </w:p>
    <w:p>
      <w:pPr>
        <w:pStyle w:val="ListParagraph"/>
        <w:numPr>
          <w:ilvl w:val="0"/>
          <w:numId w:val="3"/>
        </w:numPr>
        <w:spacing w:after="360"/>
      </w:pPr>
      <w:r>
        <w:rPr>
          <w:b/>
          <w:bCs/>
        </w:rPr>
        <w:t xml:space="preserve">tcpdump / Wireshark : </w:t>
      </w:r>
      <w:r>
        <w:t xml:space="preserve">Pour capturer et analyser le trafic réseau au niveau système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2026-02-14T12:29:08.376Z</dcterms:created>
  <dcterms:modified xsi:type="dcterms:W3CDTF">2026-02-14T12:29:08.376Z</dcterms:modified>
</cp:coreProperties>
</file>

<file path=docProps/custom.xml><?xml version="1.0" encoding="utf-8"?>
<Properties xmlns="http://schemas.openxmlformats.org/officeDocument/2006/custom-properties" xmlns:vt="http://schemas.openxmlformats.org/officeDocument/2006/docPropsVTypes"/>
</file>