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48"/>
          <w:szCs w:val="48"/>
        </w:rPr>
        <w:t xml:space="preserve">Использование нейросетей в задачах анализа кода</w:t>
      </w:r>
    </w:p>
    <w:p>
      <w:pPr>
        <w:spacing w:after="360" w:before="0"/>
        <w:jc w:val="center"/>
      </w:pPr>
      <w:r>
        <w:rPr>
          <w:rFonts w:ascii="Arial" w:cs="Arial" w:eastAsia="Arial" w:hAnsi="Arial"/>
          <w:i/>
          <w:iCs/>
          <w:color w:val="595959"/>
          <w:sz w:val="24"/>
          <w:szCs w:val="24"/>
        </w:rPr>
        <w:t xml:space="preserve">Обзор подходов и индустриальных моделей</w:t>
      </w:r>
    </w:p>
    <w:p>
      <w:pPr>
        <w:pBdr>
          <w:bottom w:val="single" w:color="1F4E79" w:sz="12" w:space="1"/>
        </w:pBdr>
        <w:spacing w:after="360" w:before="0"/>
      </w:pPr>
      <w:r>
        <w:t xml:space="preserve"/>
      </w:r>
    </w:p>
    <w:p>
      <w:pPr>
        <w:pStyle w:val="Heading2"/>
      </w:pPr>
      <w:r>
        <w:rPr>
          <w:b/>
          <w:bCs/>
        </w:rPr>
        <w:t xml:space="preserve">Введение</w:t>
      </w:r>
    </w:p>
    <w:p>
      <w:pPr>
        <w:spacing w:after="120" w:before="0" w:line="300"/>
        <w:jc w:val="both"/>
      </w:pPr>
      <w:r>
        <w:rPr>
          <w:b w:val="false"/>
          <w:bCs w:val="false"/>
          <w:i w:val="false"/>
          <w:iCs w:val="false"/>
        </w:rPr>
        <w:t xml:space="preserve">В промышленной практике сложилось несколько основных подходов к применению нейросетевых моделей для анализа кода. Ниже разобраны три ключевых направления, типовая постановка задачи классификации уязвимостей, требования к промышленному решению и краткий обзор моделей, применяемых в индустрии.</w:t>
      </w:r>
    </w:p>
    <w:p>
      <w:pPr>
        <w:pStyle w:val="Heading2"/>
      </w:pPr>
      <w:r>
        <w:rPr>
          <w:b/>
          <w:bCs/>
        </w:rPr>
        <w:t xml:space="preserve">Основные подходы</w:t>
      </w:r>
    </w:p>
    <w:p>
      <w:pPr>
        <w:pStyle w:val="Heading3"/>
      </w:pPr>
      <w:r>
        <w:rPr>
          <w:b/>
          <w:bCs/>
        </w:rPr>
        <w:t xml:space="preserve">1. Код как текст</w:t>
      </w:r>
    </w:p>
    <w:p>
      <w:pPr>
        <w:spacing w:after="120" w:before="0" w:line="300"/>
        <w:jc w:val="both"/>
      </w:pPr>
      <w:r>
        <w:rPr>
          <w:b w:val="false"/>
          <w:bCs w:val="false"/>
          <w:i w:val="false"/>
          <w:iCs w:val="false"/>
        </w:rPr>
        <w:t xml:space="preserve">Первый подход связан с представлением исходного кода как текста. Код токенизируется (BPE, SentencePiece, unigram LM) и подаётся в трансформер. Модели типа CodeBERT, GraphCodeBERT, StarCoder, CodeLlama обучаются на мультиязычных корпусах. Такой подход удобен для сценариев с использованием разных языков программирования (C/C++, Java, Python, Go и др.).</w:t>
      </w:r>
    </w:p>
    <w:p>
      <w:pPr>
        <w:spacing w:after="120" w:before="0" w:line="300"/>
        <w:jc w:val="both"/>
      </w:pPr>
      <w:r>
        <w:rPr>
          <w:b w:val="false"/>
          <w:bCs w:val="false"/>
          <w:i w:val="false"/>
          <w:iCs w:val="false"/>
        </w:rPr>
        <w:t xml:space="preserve">Используются архитектуры трансформеров, аналогичные моделям обработки естественного языка. Они обучаются на больших корпусах репозиториев и далее дообучаются на задачах классификации уязвимостей. Модели способны определять, относится ли фрагмент кода к определённому классу дефектов — например, SQL-инъекции, переполнение буфера, небезопасная десериализация.</w:t>
      </w:r>
    </w:p>
    <w:p>
      <w:pPr>
        <w:pStyle w:val="Heading3"/>
      </w:pPr>
      <w:r>
        <w:rPr>
          <w:b/>
          <w:bCs/>
        </w:rPr>
        <w:t xml:space="preserve">2. Структурное представление кода</w:t>
      </w:r>
    </w:p>
    <w:p>
      <w:pPr>
        <w:spacing w:after="120" w:before="0" w:line="300"/>
        <w:jc w:val="both"/>
      </w:pPr>
      <w:r>
        <w:rPr>
          <w:b w:val="false"/>
          <w:bCs w:val="false"/>
          <w:i w:val="false"/>
          <w:iCs w:val="false"/>
        </w:rPr>
        <w:t xml:space="preserve">Второй подход основан на анализе структурного представления кода. Исходный текст преобразуется в абстрактное синтаксическое дерево (AST), граф потоков управления (CFG) или граф зависимостей данных. Далее применяются графовые нейронные сети (GCN, GAT, GGNN), способные учитывать связи между узлами. Это особенно важно для выявления логических уязвимостей, зависящих от контекста выполнения и потоков данных.</w:t>
      </w:r>
    </w:p>
    <w:p>
      <w:pPr>
        <w:pStyle w:val="Heading3"/>
      </w:pPr>
      <w:r>
        <w:rPr>
          <w:b/>
          <w:bCs/>
        </w:rPr>
        <w:t xml:space="preserve">3. Гибрид: нейросети + классический анализ</w:t>
      </w:r>
    </w:p>
    <w:p>
      <w:pPr>
        <w:spacing w:after="120" w:before="0" w:line="300"/>
        <w:jc w:val="both"/>
      </w:pPr>
      <w:r>
        <w:rPr>
          <w:b w:val="false"/>
          <w:bCs w:val="false"/>
          <w:i w:val="false"/>
          <w:iCs w:val="false"/>
        </w:rPr>
        <w:t xml:space="preserve">Третий подход сочетает нейросети с традиционными механизмами анализа. Классический статический анализ формирует набор признаков (features), а модель машинного обучения используется для ранжирования, фильтрации ложноположительных срабатываний и приоритизации алертов. В промышленной эксплуатации это один из наиболее практичных сценариев, поскольку он не требует полной замены существующей инфраструктуры.</w:t>
      </w:r>
    </w:p>
    <w:p>
      <w:pPr>
        <w:pStyle w:val="Heading2"/>
      </w:pPr>
      <w:r>
        <w:rPr>
          <w:b/>
          <w:bCs/>
        </w:rPr>
        <w:t xml:space="preserve">Постановка задачи классификации уязвимостей</w:t>
      </w:r>
    </w:p>
    <w:p>
      <w:pPr>
        <w:spacing w:after="120" w:before="0" w:line="300"/>
        <w:jc w:val="both"/>
      </w:pPr>
      <w:r>
        <w:rPr>
          <w:b w:val="false"/>
          <w:bCs w:val="false"/>
          <w:i w:val="false"/>
          <w:iCs w:val="false"/>
        </w:rPr>
        <w:t xml:space="preserve">Для задачи классификации уязвимостей обычно формируется обучающая выборка, в которую входят фрагменты кода, размеченные по типам дефектов (например, по CWE). Источниками данных могут служить:</w:t>
      </w:r>
    </w:p>
    <w:p>
      <w:pPr>
        <w:pStyle w:val="ListParagraph"/>
        <w:numPr>
          <w:ilvl w:val="0"/>
          <w:numId w:val="2"/>
        </w:numPr>
        <w:spacing w:after="60" w:before="60" w:line="280"/>
        <w:jc w:val="left"/>
      </w:pPr>
      <w:r>
        <w:rPr>
          <w:b w:val="false"/>
          <w:bCs w:val="false"/>
          <w:i w:val="false"/>
          <w:iCs w:val="false"/>
        </w:rPr>
        <w:t xml:space="preserve">открытые базы уязвимостей;</w:t>
      </w:r>
    </w:p>
    <w:p>
      <w:pPr>
        <w:pStyle w:val="ListParagraph"/>
        <w:numPr>
          <w:ilvl w:val="0"/>
          <w:numId w:val="2"/>
        </w:numPr>
        <w:spacing w:after="60" w:before="60" w:line="280"/>
        <w:jc w:val="left"/>
      </w:pPr>
      <w:r>
        <w:rPr>
          <w:b w:val="false"/>
          <w:bCs w:val="false"/>
          <w:i w:val="false"/>
          <w:iCs w:val="false"/>
        </w:rPr>
        <w:t xml:space="preserve">публичные репозитории с известной историей исправлений;</w:t>
      </w:r>
    </w:p>
    <w:p>
      <w:pPr>
        <w:pStyle w:val="ListParagraph"/>
        <w:numPr>
          <w:ilvl w:val="0"/>
          <w:numId w:val="2"/>
        </w:numPr>
        <w:spacing w:after="60" w:before="60" w:line="280"/>
        <w:jc w:val="left"/>
      </w:pPr>
      <w:r>
        <w:rPr>
          <w:b w:val="false"/>
          <w:bCs w:val="false"/>
          <w:i w:val="false"/>
          <w:iCs w:val="false"/>
        </w:rPr>
        <w:t xml:space="preserve">внутренние корпоративные данные.</w:t>
      </w:r>
    </w:p>
    <w:p>
      <w:pPr>
        <w:spacing w:after="120" w:before="0" w:line="300"/>
        <w:jc w:val="both"/>
      </w:pPr>
      <w:r>
        <w:rPr>
          <w:b w:val="false"/>
          <w:bCs w:val="false"/>
          <w:i w:val="false"/>
          <w:iCs w:val="false"/>
        </w:rPr>
        <w:t xml:space="preserve">Модель обучается предсказывать принадлежность к определённой категории или вероятность наличия уязвимости. На практике часто применяется дообучение предобученных моделей, что позволяет существенно снизить требования к объёму разметки.</w:t>
      </w:r>
    </w:p>
    <w:p>
      <w:pPr>
        <w:pStyle w:val="Heading2"/>
      </w:pPr>
      <w:r>
        <w:rPr>
          <w:b/>
          <w:bCs/>
        </w:rPr>
        <w:t xml:space="preserve">Сценарий применения в проекте</w:t>
      </w:r>
    </w:p>
    <w:p>
      <w:pPr>
        <w:spacing w:after="120" w:before="0" w:line="300"/>
        <w:jc w:val="both"/>
      </w:pPr>
      <w:r>
        <w:rPr>
          <w:b w:val="false"/>
          <w:bCs w:val="false"/>
          <w:i w:val="false"/>
          <w:iCs w:val="false"/>
        </w:rPr>
        <w:t xml:space="preserve">Если говорить о практическом применении в проекте, возможен следующий сценарий: сначала используется существующий инструмент анализа кода, который формирует список потенциальных проблем; далее нейросетевая модель применяется для дополнительной классификации и оценки риска. Это позволяет уменьшить количество ложноположительных результатов и повысить качество отчётности.</w:t>
      </w:r>
    </w:p>
    <w:p>
      <w:pPr>
        <w:pStyle w:val="Heading2"/>
      </w:pPr>
      <w:r>
        <w:rPr>
          <w:b/>
          <w:bCs/>
        </w:rPr>
        <w:t xml:space="preserve">Нефункциональные требования</w:t>
      </w:r>
    </w:p>
    <w:p>
      <w:pPr>
        <w:spacing w:after="120" w:before="0" w:line="300"/>
        <w:jc w:val="both"/>
      </w:pPr>
      <w:r>
        <w:rPr>
          <w:b w:val="false"/>
          <w:bCs w:val="false"/>
          <w:i w:val="false"/>
          <w:iCs w:val="false"/>
        </w:rPr>
        <w:t xml:space="preserve">При разработке промышленного решения необходимо учитывать набор нефункциональных требований:</w:t>
      </w:r>
    </w:p>
    <w:p>
      <w:pPr>
        <w:pStyle w:val="ListParagraph"/>
        <w:numPr>
          <w:ilvl w:val="0"/>
          <w:numId w:val="2"/>
        </w:numPr>
        <w:spacing w:after="60" w:before="60" w:line="280"/>
        <w:jc w:val="left"/>
      </w:pPr>
      <w:r>
        <w:rPr>
          <w:b/>
          <w:bCs/>
          <w:i w:val="false"/>
          <w:iCs w:val="false"/>
        </w:rPr>
        <w:t xml:space="preserve">воспроизводимость результатов</w:t>
      </w:r>
      <w:r>
        <w:rPr>
          <w:b w:val="false"/>
          <w:bCs w:val="false"/>
          <w:i w:val="false"/>
          <w:iCs w:val="false"/>
        </w:rPr>
        <w:t xml:space="preserve"> — детерминированный пайплайн обучения и инференса;</w:t>
      </w:r>
    </w:p>
    <w:p>
      <w:pPr>
        <w:pStyle w:val="ListParagraph"/>
        <w:numPr>
          <w:ilvl w:val="0"/>
          <w:numId w:val="2"/>
        </w:numPr>
        <w:spacing w:after="60" w:before="60" w:line="280"/>
        <w:jc w:val="left"/>
      </w:pPr>
      <w:r>
        <w:rPr>
          <w:b/>
          <w:bCs/>
          <w:i w:val="false"/>
          <w:iCs w:val="false"/>
        </w:rPr>
        <w:t xml:space="preserve">объяснимость</w:t>
      </w:r>
      <w:r>
        <w:rPr>
          <w:b w:val="false"/>
          <w:bCs w:val="false"/>
          <w:i w:val="false"/>
          <w:iCs w:val="false"/>
        </w:rPr>
        <w:t xml:space="preserve"> — возможность интерпретировать решение модели;</w:t>
      </w:r>
    </w:p>
    <w:p>
      <w:pPr>
        <w:pStyle w:val="ListParagraph"/>
        <w:numPr>
          <w:ilvl w:val="0"/>
          <w:numId w:val="2"/>
        </w:numPr>
        <w:spacing w:after="60" w:before="60" w:line="280"/>
        <w:jc w:val="left"/>
      </w:pPr>
      <w:r>
        <w:rPr>
          <w:b/>
          <w:bCs/>
          <w:i w:val="false"/>
          <w:iCs w:val="false"/>
        </w:rPr>
        <w:t xml:space="preserve">соответствие требованиям регуляторов</w:t>
      </w:r>
      <w:r>
        <w:rPr>
          <w:b w:val="false"/>
          <w:bCs w:val="false"/>
          <w:i w:val="false"/>
          <w:iCs w:val="false"/>
        </w:rPr>
        <w:t xml:space="preserve"> — аудит, протоколирование, контроль данных;</w:t>
      </w:r>
    </w:p>
    <w:p>
      <w:pPr>
        <w:pStyle w:val="ListParagraph"/>
        <w:numPr>
          <w:ilvl w:val="0"/>
          <w:numId w:val="2"/>
        </w:numPr>
        <w:spacing w:after="60" w:before="60" w:line="280"/>
        <w:jc w:val="left"/>
      </w:pPr>
      <w:r>
        <w:rPr>
          <w:b/>
          <w:bCs/>
          <w:i w:val="false"/>
          <w:iCs w:val="false"/>
        </w:rPr>
        <w:t xml:space="preserve">интеграция в CI/CD</w:t>
      </w:r>
      <w:r>
        <w:rPr>
          <w:b w:val="false"/>
          <w:bCs w:val="false"/>
          <w:i w:val="false"/>
          <w:iCs w:val="false"/>
        </w:rPr>
        <w:t xml:space="preserve"> — автоматизация запуска проверок на этапах сборки.</w:t>
      </w:r>
    </w:p>
    <w:p>
      <w:pPr>
        <w:spacing w:after="120" w:before="0" w:line="300"/>
        <w:jc w:val="both"/>
      </w:pPr>
      <w:r>
        <w:rPr>
          <w:b w:val="false"/>
          <w:bCs w:val="false"/>
          <w:i w:val="false"/>
          <w:iCs w:val="false"/>
        </w:rPr>
        <w:t xml:space="preserve">Для задач информационной безопасности особенно важно наличие прозрачной логики принятия решений, поэтому модели часто дополняются механизмами интерпретации — например, анализом важности токенов или узлов графа.</w:t>
      </w:r>
    </w:p>
    <w:p>
      <w:pPr>
        <w:pStyle w:val="Heading2"/>
      </w:pPr>
      <w:r>
        <w:rPr>
          <w:b/>
          <w:bCs/>
        </w:rPr>
        <w:t xml:space="preserve">Примеры моделей из индустрии</w:t>
      </w:r>
    </w:p>
    <w:tbl>
      <w:tblPr>
        <w:tblW w:type="dxa" w:w="9026"/>
        <w:tblBorders>
          <w:top w:val="single" w:color="B4B4B4" w:sz="4"/>
          <w:left w:val="single" w:color="B4B4B4" w:sz="4"/>
          <w:bottom w:val="single" w:color="B4B4B4" w:sz="4"/>
          <w:right w:val="single" w:color="B4B4B4" w:sz="4"/>
          <w:insideH w:val="single" w:color="B4B4B4" w:sz="4"/>
          <w:insideV w:val="single" w:color="B4B4B4" w:sz="4"/>
        </w:tblBorders>
      </w:tblPr>
      <w:tblGrid>
        <w:gridCol w:w="2400"/>
        <w:gridCol w:w="3826"/>
        <w:gridCol w:w="2800"/>
      </w:tblGrid>
      <w:tr>
        <w:trPr>
          <w:tblHeader/>
        </w:trPr>
        <w:tc>
          <w:tcPr>
            <w:tcW w:type="dxa" w:w="2400"/>
            <w:shd w:fill="D9E2F3" w:val="clear"/>
            <w:tcMar>
              <w:top w:type="dxa" w:w="100"/>
              <w:left w:type="dxa" w:w="140"/>
              <w:bottom w:type="dxa" w:w="100"/>
              <w:right w:type="dxa" w:w="140"/>
            </w:tcMar>
          </w:tcPr>
          <w:p>
            <w:pPr>
              <w:spacing w:after="0" w:before="0"/>
              <w:jc w:val="left"/>
            </w:pPr>
            <w:r>
              <w:rPr>
                <w:rFonts w:ascii="Arial" w:cs="Arial" w:eastAsia="Arial" w:hAnsi="Arial"/>
                <w:b/>
                <w:bCs/>
                <w:color w:val="1F4E79"/>
                <w:sz w:val="22"/>
                <w:szCs w:val="22"/>
              </w:rPr>
              <w:t xml:space="preserve">Модель</w:t>
            </w:r>
          </w:p>
        </w:tc>
        <w:tc>
          <w:tcPr>
            <w:tcW w:type="dxa" w:w="3826"/>
            <w:shd w:fill="D9E2F3" w:val="clear"/>
            <w:tcMar>
              <w:top w:type="dxa" w:w="100"/>
              <w:left w:type="dxa" w:w="140"/>
              <w:bottom w:type="dxa" w:w="100"/>
              <w:right w:type="dxa" w:w="140"/>
            </w:tcMar>
          </w:tcPr>
          <w:p>
            <w:pPr>
              <w:spacing w:after="0" w:before="0"/>
              <w:jc w:val="left"/>
            </w:pPr>
            <w:r>
              <w:rPr>
                <w:rFonts w:ascii="Arial" w:cs="Arial" w:eastAsia="Arial" w:hAnsi="Arial"/>
                <w:b/>
                <w:bCs/>
                <w:color w:val="1F4E79"/>
                <w:sz w:val="22"/>
                <w:szCs w:val="22"/>
              </w:rPr>
              <w:t xml:space="preserve">Описание</w:t>
            </w:r>
          </w:p>
        </w:tc>
        <w:tc>
          <w:tcPr>
            <w:tcW w:type="dxa" w:w="2800"/>
            <w:shd w:fill="D9E2F3" w:val="clear"/>
            <w:tcMar>
              <w:top w:type="dxa" w:w="100"/>
              <w:left w:type="dxa" w:w="140"/>
              <w:bottom w:type="dxa" w:w="100"/>
              <w:right w:type="dxa" w:w="140"/>
            </w:tcMar>
          </w:tcPr>
          <w:p>
            <w:pPr>
              <w:spacing w:after="0" w:before="0"/>
              <w:jc w:val="left"/>
            </w:pPr>
            <w:r>
              <w:rPr>
                <w:rFonts w:ascii="Arial" w:cs="Arial" w:eastAsia="Arial" w:hAnsi="Arial"/>
                <w:b/>
                <w:bCs/>
                <w:color w:val="1F4E79"/>
                <w:sz w:val="22"/>
                <w:szCs w:val="22"/>
              </w:rPr>
              <w:t xml:space="preserve">Применимость</w:t>
            </w:r>
          </w:p>
        </w:tc>
      </w:tr>
      <w:tr>
        <w:tc>
          <w:tcPr>
            <w:tcW w:type="dxa" w:w="2400"/>
            <w:tcMar>
              <w:top w:type="dxa" w:w="100"/>
              <w:left w:type="dxa" w:w="140"/>
              <w:bottom w:type="dxa" w:w="100"/>
              <w:right w:type="dxa" w:w="140"/>
            </w:tcMar>
            <w:vAlign w:val="top"/>
          </w:tcPr>
          <w:p>
            <w:pPr>
              <w:spacing w:after="0" w:before="0" w:line="240"/>
              <w:jc w:val="left"/>
            </w:pPr>
            <w:r>
              <w:rPr>
                <w:rFonts w:ascii="Arial" w:cs="Arial" w:eastAsia="Arial" w:hAnsi="Arial"/>
                <w:sz w:val="20"/>
                <w:szCs w:val="20"/>
              </w:rPr>
              <w:t xml:space="preserve">CodeBERT</w:t>
            </w:r>
          </w:p>
        </w:tc>
        <w:tc>
          <w:tcPr>
            <w:tcW w:type="dxa" w:w="3826"/>
            <w:tcMar>
              <w:top w:type="dxa" w:w="100"/>
              <w:left w:type="dxa" w:w="140"/>
              <w:bottom w:type="dxa" w:w="100"/>
              <w:right w:type="dxa" w:w="140"/>
            </w:tcMar>
            <w:vAlign w:val="top"/>
          </w:tcPr>
          <w:p>
            <w:pPr>
              <w:spacing w:after="0" w:before="0" w:line="240"/>
              <w:jc w:val="left"/>
            </w:pPr>
            <w:r>
              <w:rPr>
                <w:rFonts w:ascii="Arial" w:cs="Arial" w:eastAsia="Arial" w:hAnsi="Arial"/>
                <w:sz w:val="20"/>
                <w:szCs w:val="20"/>
              </w:rPr>
              <w:t xml:space="preserve">Двунаправленная модель (Transformer) для кода и естественного языка, обученная на репозиториях (Python, Java, JavaScript и др.).</w:t>
            </w:r>
          </w:p>
        </w:tc>
        <w:tc>
          <w:tcPr>
            <w:tcW w:type="dxa" w:w="2800"/>
            <w:tcMar>
              <w:top w:type="dxa" w:w="100"/>
              <w:left w:type="dxa" w:w="140"/>
              <w:bottom w:type="dxa" w:w="100"/>
              <w:right w:type="dxa" w:w="140"/>
            </w:tcMar>
            <w:vAlign w:val="top"/>
          </w:tcPr>
          <w:p>
            <w:pPr>
              <w:spacing w:after="0" w:before="0" w:line="240"/>
              <w:jc w:val="left"/>
            </w:pPr>
            <w:r>
              <w:rPr>
                <w:rFonts w:ascii="Arial" w:cs="Arial" w:eastAsia="Arial" w:hAnsi="Arial"/>
                <w:sz w:val="20"/>
                <w:szCs w:val="20"/>
              </w:rPr>
              <w:t xml:space="preserve">Поиск и документирование кода, базовая классификация.</w:t>
            </w:r>
          </w:p>
        </w:tc>
      </w:tr>
      <w:tr>
        <w:tc>
          <w:tcPr>
            <w:tcW w:type="dxa" w:w="2400"/>
            <w:tcMar>
              <w:top w:type="dxa" w:w="100"/>
              <w:left w:type="dxa" w:w="140"/>
              <w:bottom w:type="dxa" w:w="100"/>
              <w:right w:type="dxa" w:w="140"/>
            </w:tcMar>
            <w:vAlign w:val="top"/>
          </w:tcPr>
          <w:p>
            <w:pPr>
              <w:spacing w:after="0" w:before="0" w:line="240"/>
              <w:jc w:val="left"/>
            </w:pPr>
            <w:r>
              <w:rPr>
                <w:rFonts w:ascii="Arial" w:cs="Arial" w:eastAsia="Arial" w:hAnsi="Arial"/>
                <w:sz w:val="20"/>
                <w:szCs w:val="20"/>
              </w:rPr>
              <w:t xml:space="preserve">GraphCodeBERT</w:t>
            </w:r>
          </w:p>
        </w:tc>
        <w:tc>
          <w:tcPr>
            <w:tcW w:type="dxa" w:w="3826"/>
            <w:tcMar>
              <w:top w:type="dxa" w:w="100"/>
              <w:left w:type="dxa" w:w="140"/>
              <w:bottom w:type="dxa" w:w="100"/>
              <w:right w:type="dxa" w:w="140"/>
            </w:tcMar>
            <w:vAlign w:val="top"/>
          </w:tcPr>
          <w:p>
            <w:pPr>
              <w:spacing w:after="0" w:before="0" w:line="240"/>
              <w:jc w:val="left"/>
            </w:pPr>
            <w:r>
              <w:rPr>
                <w:rFonts w:ascii="Arial" w:cs="Arial" w:eastAsia="Arial" w:hAnsi="Arial"/>
                <w:sz w:val="20"/>
                <w:szCs w:val="20"/>
              </w:rPr>
              <w:t xml:space="preserve">Расширение CodeBERT с вниманием к data-flow структурам кода (семантический граф). Лучше понимает зависимости переменных.</w:t>
            </w:r>
          </w:p>
        </w:tc>
        <w:tc>
          <w:tcPr>
            <w:tcW w:type="dxa" w:w="2800"/>
            <w:tcMar>
              <w:top w:type="dxa" w:w="100"/>
              <w:left w:type="dxa" w:w="140"/>
              <w:bottom w:type="dxa" w:w="100"/>
              <w:right w:type="dxa" w:w="140"/>
            </w:tcMar>
            <w:vAlign w:val="top"/>
          </w:tcPr>
          <w:p>
            <w:pPr>
              <w:spacing w:after="0" w:before="0" w:line="240"/>
              <w:jc w:val="left"/>
            </w:pPr>
            <w:r>
              <w:rPr>
                <w:rFonts w:ascii="Arial" w:cs="Arial" w:eastAsia="Arial" w:hAnsi="Arial"/>
                <w:sz w:val="20"/>
                <w:szCs w:val="20"/>
              </w:rPr>
              <w:t xml:space="preserve">Задачи, чувствительные к потокам данных.</w:t>
            </w:r>
          </w:p>
        </w:tc>
      </w:tr>
      <w:tr>
        <w:tc>
          <w:tcPr>
            <w:tcW w:type="dxa" w:w="2400"/>
            <w:tcMar>
              <w:top w:type="dxa" w:w="100"/>
              <w:left w:type="dxa" w:w="140"/>
              <w:bottom w:type="dxa" w:w="100"/>
              <w:right w:type="dxa" w:w="140"/>
            </w:tcMar>
            <w:vAlign w:val="top"/>
          </w:tcPr>
          <w:p>
            <w:pPr>
              <w:spacing w:after="0" w:before="0" w:line="240"/>
              <w:jc w:val="left"/>
            </w:pPr>
            <w:r>
              <w:rPr>
                <w:rFonts w:ascii="Arial" w:cs="Arial" w:eastAsia="Arial" w:hAnsi="Arial"/>
                <w:sz w:val="20"/>
                <w:szCs w:val="20"/>
              </w:rPr>
              <w:t xml:space="preserve">VulBERTa</w:t>
            </w:r>
          </w:p>
        </w:tc>
        <w:tc>
          <w:tcPr>
            <w:tcW w:type="dxa" w:w="3826"/>
            <w:tcMar>
              <w:top w:type="dxa" w:w="100"/>
              <w:left w:type="dxa" w:w="140"/>
              <w:bottom w:type="dxa" w:w="100"/>
              <w:right w:type="dxa" w:w="140"/>
            </w:tcMar>
            <w:vAlign w:val="top"/>
          </w:tcPr>
          <w:p>
            <w:pPr>
              <w:spacing w:after="0" w:before="0" w:line="240"/>
              <w:jc w:val="left"/>
            </w:pPr>
            <w:r>
              <w:rPr>
                <w:rFonts w:ascii="Arial" w:cs="Arial" w:eastAsia="Arial" w:hAnsi="Arial"/>
                <w:sz w:val="20"/>
                <w:szCs w:val="20"/>
              </w:rPr>
              <w:t xml:space="preserve">Модификация RoBERTa, предобученная на реальных проектах на C/C++. Достигает SOTA в бинарной и многоклассовой классификации уязвимостей на бенчмарках VulDeePecker, REVEAL и др. (~90% F1).</w:t>
            </w:r>
          </w:p>
        </w:tc>
        <w:tc>
          <w:tcPr>
            <w:tcW w:type="dxa" w:w="2800"/>
            <w:tcMar>
              <w:top w:type="dxa" w:w="100"/>
              <w:left w:type="dxa" w:w="140"/>
              <w:bottom w:type="dxa" w:w="100"/>
              <w:right w:type="dxa" w:w="140"/>
            </w:tcMar>
            <w:vAlign w:val="top"/>
          </w:tcPr>
          <w:p>
            <w:pPr>
              <w:spacing w:after="0" w:before="0" w:line="240"/>
              <w:jc w:val="left"/>
            </w:pPr>
            <w:r>
              <w:rPr>
                <w:rFonts w:ascii="Arial" w:cs="Arial" w:eastAsia="Arial" w:hAnsi="Arial"/>
                <w:sz w:val="20"/>
                <w:szCs w:val="20"/>
              </w:rPr>
              <w:t xml:space="preserve">Классификация уязвимостей в C/C++.</w:t>
            </w:r>
          </w:p>
        </w:tc>
      </w:tr>
      <w:tr>
        <w:tc>
          <w:tcPr>
            <w:tcW w:type="dxa" w:w="2400"/>
            <w:tcMar>
              <w:top w:type="dxa" w:w="100"/>
              <w:left w:type="dxa" w:w="140"/>
              <w:bottom w:type="dxa" w:w="100"/>
              <w:right w:type="dxa" w:w="140"/>
            </w:tcMar>
            <w:vAlign w:val="top"/>
          </w:tcPr>
          <w:p>
            <w:pPr>
              <w:spacing w:after="0" w:before="0" w:line="240"/>
              <w:jc w:val="left"/>
            </w:pPr>
            <w:r>
              <w:rPr>
                <w:rFonts w:ascii="Arial" w:cs="Arial" w:eastAsia="Arial" w:hAnsi="Arial"/>
                <w:sz w:val="20"/>
                <w:szCs w:val="20"/>
              </w:rPr>
              <w:t xml:space="preserve">Devign</w:t>
            </w:r>
          </w:p>
        </w:tc>
        <w:tc>
          <w:tcPr>
            <w:tcW w:type="dxa" w:w="3826"/>
            <w:tcMar>
              <w:top w:type="dxa" w:w="100"/>
              <w:left w:type="dxa" w:w="140"/>
              <w:bottom w:type="dxa" w:w="100"/>
              <w:right w:type="dxa" w:w="140"/>
            </w:tcMar>
            <w:vAlign w:val="top"/>
          </w:tcPr>
          <w:p>
            <w:pPr>
              <w:spacing w:after="0" w:before="0" w:line="240"/>
              <w:jc w:val="left"/>
            </w:pPr>
            <w:r>
              <w:rPr>
                <w:rFonts w:ascii="Arial" w:cs="Arial" w:eastAsia="Arial" w:hAnsi="Arial"/>
                <w:sz w:val="20"/>
                <w:szCs w:val="20"/>
              </w:rPr>
              <w:t xml:space="preserve">GNN-модель для C/C++ кода: строит подробные графы функций (AST + CFG). На NeurIPS 2019 превзошла все имеющиеся методы по точности распознавания уязвимых функций.</w:t>
            </w:r>
          </w:p>
        </w:tc>
        <w:tc>
          <w:tcPr>
            <w:tcW w:type="dxa" w:w="2800"/>
            <w:tcMar>
              <w:top w:type="dxa" w:w="100"/>
              <w:left w:type="dxa" w:w="140"/>
              <w:bottom w:type="dxa" w:w="100"/>
              <w:right w:type="dxa" w:w="140"/>
            </w:tcMar>
            <w:vAlign w:val="top"/>
          </w:tcPr>
          <w:p>
            <w:pPr>
              <w:spacing w:after="0" w:before="0" w:line="240"/>
              <w:jc w:val="left"/>
            </w:pPr>
            <w:r>
              <w:rPr>
                <w:rFonts w:ascii="Arial" w:cs="Arial" w:eastAsia="Arial" w:hAnsi="Arial"/>
                <w:sz w:val="20"/>
                <w:szCs w:val="20"/>
              </w:rPr>
              <w:t xml:space="preserve">Графовый анализ функций C/C++.</w:t>
            </w:r>
          </w:p>
        </w:tc>
      </w:tr>
      <w:tr>
        <w:tc>
          <w:tcPr>
            <w:tcW w:type="dxa" w:w="2400"/>
            <w:tcMar>
              <w:top w:type="dxa" w:w="100"/>
              <w:left w:type="dxa" w:w="140"/>
              <w:bottom w:type="dxa" w:w="100"/>
              <w:right w:type="dxa" w:w="140"/>
            </w:tcMar>
            <w:vAlign w:val="top"/>
          </w:tcPr>
          <w:p>
            <w:pPr>
              <w:spacing w:after="0" w:before="0" w:line="240"/>
              <w:jc w:val="left"/>
            </w:pPr>
            <w:r>
              <w:rPr>
                <w:rFonts w:ascii="Arial" w:cs="Arial" w:eastAsia="Arial" w:hAnsi="Arial"/>
                <w:sz w:val="20"/>
                <w:szCs w:val="20"/>
              </w:rPr>
              <w:t xml:space="preserve">OpenAI Codex / GitHub Copilot</w:t>
            </w:r>
          </w:p>
        </w:tc>
        <w:tc>
          <w:tcPr>
            <w:tcW w:type="dxa" w:w="3826"/>
            <w:tcMar>
              <w:top w:type="dxa" w:w="100"/>
              <w:left w:type="dxa" w:w="140"/>
              <w:bottom w:type="dxa" w:w="100"/>
              <w:right w:type="dxa" w:w="140"/>
            </w:tcMar>
            <w:vAlign w:val="top"/>
          </w:tcPr>
          <w:p>
            <w:pPr>
              <w:spacing w:after="0" w:before="0" w:line="240"/>
              <w:jc w:val="left"/>
            </w:pPr>
            <w:r>
              <w:rPr>
                <w:rFonts w:ascii="Arial" w:cs="Arial" w:eastAsia="Arial" w:hAnsi="Arial"/>
                <w:sz w:val="20"/>
                <w:szCs w:val="20"/>
              </w:rPr>
              <w:t xml:space="preserve">LLM для программирования: генерация и автодополнение кода. Не специализированы на безопасности, но применимы для выявления шаблонов ошибок и автоматической генерации исправлений (например, Copilot Chat для XSS / SQL-инъекций).</w:t>
            </w:r>
          </w:p>
        </w:tc>
        <w:tc>
          <w:tcPr>
            <w:tcW w:type="dxa" w:w="2800"/>
            <w:tcMar>
              <w:top w:type="dxa" w:w="100"/>
              <w:left w:type="dxa" w:w="140"/>
              <w:bottom w:type="dxa" w:w="100"/>
              <w:right w:type="dxa" w:w="140"/>
            </w:tcMar>
            <w:vAlign w:val="top"/>
          </w:tcPr>
          <w:p>
            <w:pPr>
              <w:spacing w:after="0" w:before="0" w:line="240"/>
              <w:jc w:val="left"/>
            </w:pPr>
            <w:r>
              <w:rPr>
                <w:rFonts w:ascii="Arial" w:cs="Arial" w:eastAsia="Arial" w:hAnsi="Arial"/>
                <w:sz w:val="20"/>
                <w:szCs w:val="20"/>
              </w:rPr>
              <w:t xml:space="preserve">Подсказки, объяснения, генерация патчей.</w:t>
            </w:r>
          </w:p>
        </w:tc>
      </w:tr>
    </w:tbl>
    <w:p>
      <w:pPr>
        <w:pStyle w:val="Caption"/>
        <w:spacing w:after="240" w:before="0"/>
        <w:jc w:val="left"/>
      </w:pPr>
      <w:r>
        <w:rPr>
          <w:i/>
          <w:iCs/>
          <w:color w:val="595959"/>
          <w:sz w:val="20"/>
          <w:szCs w:val="20"/>
        </w:rPr>
        <w:t xml:space="preserve">Таблица 1. Сводка по нейросетевым моделям, применяемым в анализе кода.</w:t>
      </w:r>
    </w:p>
    <w:p>
      <w:pPr>
        <w:pStyle w:val="Heading2"/>
      </w:pPr>
      <w:r>
        <w:rPr>
          <w:b/>
          <w:bCs/>
        </w:rPr>
        <w:t xml:space="preserve">Заключение</w:t>
      </w:r>
    </w:p>
    <w:p>
      <w:pPr>
        <w:spacing w:after="120" w:before="0" w:line="300"/>
        <w:jc w:val="both"/>
      </w:pPr>
      <w:r>
        <w:rPr>
          <w:b w:val="false"/>
          <w:bCs w:val="false"/>
          <w:i w:val="false"/>
          <w:iCs w:val="false"/>
        </w:rPr>
        <w:t xml:space="preserve">Нейросетевые методы дополняют классический статический анализ кода и позволяют решать задачи, которые сложно покрыть только эвристиками: классификацию уязвимостей по CWE, фильтрацию ложноположительных срабатываний, понимание зависимостей через AST/CFG. На практике наиболее устойчивые результаты в промышленной эксплуатации даёт гибридный подход — комбинация существующих инструментов и ML-моделей с прозрачной интерпретацией решений.</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 w:type="paragraph" w:styleId="Code">
    <w:name w:val="Code"/>
    <w:basedOn w:val="Normal"/>
    <w:next w:val="Normal"/>
    <w:pPr>
      <w:spacing w:after="0" w:before="0" w:line="260"/>
    </w:pPr>
    <w:rPr>
      <w:rFonts w:ascii="Consolas" w:cs="Consolas" w:eastAsia="Consolas" w:hAnsi="Consolas"/>
      <w:color w:val="1F1F1F"/>
      <w:sz w:val="20"/>
      <w:szCs w:val="20"/>
    </w:rPr>
  </w:style>
  <w:style w:type="paragraph" w:styleId="Caption">
    <w:name w:val="Caption"/>
    <w:basedOn w:val="Normal"/>
    <w:next w:val="Normal"/>
    <w:pPr>
      <w:spacing w:after="240" w:before="60"/>
      <w:jc w:val="center"/>
    </w:pPr>
    <w:rPr>
      <w:rFonts w:ascii="Arial" w:cs="Arial" w:eastAsia="Arial" w:hAnsi="Arial"/>
      <w:i/>
      <w:i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Использование нейросетей в задачах анализа кода</dc:title>
  <dc:creator>Author</dc:creator>
  <cp:lastModifiedBy>Un-named</cp:lastModifiedBy>
  <cp:revision>1</cp:revision>
  <dcterms:created xsi:type="dcterms:W3CDTF">2026-05-08T00:23:19.457Z</dcterms:created>
  <dcterms:modified xsi:type="dcterms:W3CDTF">2026-05-08T00:23:19.458Z</dcterms:modified>
</cp:coreProperties>
</file>

<file path=docProps/custom.xml><?xml version="1.0" encoding="utf-8"?>
<Properties xmlns="http://schemas.openxmlformats.org/officeDocument/2006/custom-properties" xmlns:vt="http://schemas.openxmlformats.org/officeDocument/2006/docPropsVTypes"/>
</file>