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МЕТОДИЧЕСКИЕ УКАЗАНИЯ ДЛЯ ОБУЧАЮЩИХСЯ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к практической работе №2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«Анализ уязвимостей и интерпретация результатов»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835"/>
            <w:shd w:fill="E7E6E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6236"/>
            <w:shd w:fill="E7E6E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Направление работы</w:t>
            </w:r>
          </w:p>
        </w:tc>
        <w:tc>
          <w:tcPr>
            <w:tcW w:type="dxa" w:w="62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Композиционный анализ программного обеспечения, анализ уязвимостей сторонних компонентов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Используемые инструменты</w:t>
            </w:r>
          </w:p>
        </w:tc>
        <w:tc>
          <w:tcPr>
            <w:tcW w:type="dxa" w:w="62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Code Scoring, Solar appScreener, артефакты Практикума 1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Форма выполнения</w:t>
            </w:r>
          </w:p>
        </w:tc>
        <w:tc>
          <w:tcPr>
            <w:tcW w:type="dxa" w:w="62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индивидуальная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Форма отчетности</w:t>
            </w:r>
          </w:p>
        </w:tc>
        <w:tc>
          <w:tcPr>
            <w:tcW w:type="dxa" w:w="62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письменный отчет с таблицей уязвимостей и сравнительным анализом результатов</w:t>
            </w:r>
          </w:p>
        </w:tc>
      </w:tr>
    </w:tbl>
    <w:p/>
    <w:p>
      <w:pPr>
        <w:pStyle w:val="Heading1"/>
      </w:pPr>
      <w:r>
        <w:t>1. Назначение практической работы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Практическая работа направлена на содержательный анализ уязвимостей, обнаруженных в сторонних компонентах тестового проекта. В отличие от первой работы, где основное внимание уделялось запуску анализа и получению исходных артефактов, в данном практикуме обучающийся интерпретирует результаты: определяет проблемные компоненты, фиксирует уровни критичности, связывает уязвимости с версиями библиотек и сопоставляет представление результатов в Code Scoring и Solar appScreener.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Работа помогает перейти от формального получения отчетов к осмысленному анализу рисков. Обучающийся должен не только выписать найденные уязвимости, но и понять, какие компоненты формируют основной риск, совпадают ли находки в двух инструментах, отличаются ли оценки критичности и насколько удобно использовать интерфейс и экспортируемые материалы для ручного разбора.</w:t>
      </w:r>
    </w:p>
    <w:p>
      <w:pPr>
        <w:pStyle w:val="Heading1"/>
      </w:pPr>
      <w:r>
        <w:t>2. Цель и образовательные результаты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Цель работы — сформировать умение интерпретировать результаты анализа уязвимостей сторонних компонентов, полученные в Code Scoring и Solar appScreener, и оформить их в виде сводной таблицы и сравнительного вывода.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После выполнения практической работы обучающийся должен уметь: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выделять из результатов SCA/OSA-анализа уязвимые компоненты и связанные с ними версии библиотек;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определять идентификаторы уязвимостей, уровни критичности, CVSS-оценки и наличие ссылок на классификаторы CWE или другие источники;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связывать уязвимости с конкретными компонентами и понимать, когда один компонент является источником нескольких проблем;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различать прямые и транзитивные зависимости, если такая информация отображается в инструменте;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анализировать срабатывания политик в Code Scoring и понимать их связь с техническими находками;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сопоставлять результаты двух инструментов по единым критериям;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формулировать вывод о полноте и удобстве интерпретации результатов без необоснованных утверждений.</w:t>
      </w:r>
    </w:p>
    <w:p>
      <w:pPr>
        <w:pStyle w:val="Heading1"/>
      </w:pPr>
      <w:r>
        <w:t>3. Краткие теоретические сведения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Уязвимость стороннего компонента — это известная проблема безопасности в библиотеке, пакете или другом программном компоненте, который используется в проекте. При композиционном анализе такие проблемы обычно связываются с идентификаторами CVE или внутренними записями базы знаний инструмента, а также с конкретной версией компонента.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Критичность уязвимости показывает приблизительный уровень риска. В практической работе используются категории Critical, High, Medium, Low и другие обозначения, если они представлены в инструменте. Числовая оценка CVSS помогает дополнительно интерпретировать серьезность проблемы, однако при сравнении двух систем важно учитывать, что разные инструменты могут по-разному отображать или агрегировать эти сведения.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CWE указывает на тип слабости программного обеспечения, связанной с уязвимостью. Наличие ссылки на CWE или другой классификатор помогает понять природу проблемы, но в рамках данной работы обучающийся не выполняет глубокий технический разбор эксплуатации уязвимости. Основная задача состоит в корректной фиксации связи “уязвимость — компонент — версия — критичность”.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Прямая зависимость подключается к проекту явно, например через файл зависимостей. Транзитивная зависимость появляется в проекте через другую библиотеку. Для практического анализа важно понимать этот уровень связи, потому что прямую зависимость обычно проще обновить или заменить, а транзитивная может требовать изменения родительского компонента или всей цепочки зависимостей.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Policy alerts в Code Scoring показывают, что техническая находка нарушает заданное правило или политику. Такое срабатывание помогает перевести список уязвимостей в более прикладной формат: какие компоненты или проблемы требуют внимания с точки зрения принятых ограничений безопасности, лицензирования или supply chain-рисков.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Понятие</w:t>
            </w:r>
          </w:p>
        </w:tc>
        <w:tc>
          <w:tcPr>
            <w:tcW w:type="dxa" w:w="669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Смысл в рамках практической работы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Компонент</w:t>
            </w:r>
          </w:p>
        </w:tc>
        <w:tc>
          <w:tcPr>
            <w:tcW w:type="dxa" w:w="669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Сторонняя библиотека, пакет или зависимость, входящая в состав тестового проекта.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Уязвимость</w:t>
            </w:r>
          </w:p>
        </w:tc>
        <w:tc>
          <w:tcPr>
            <w:tcW w:type="dxa" w:w="669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Известная проблема безопасности, связанная с компонентом или его версией.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CVSS</w:t>
            </w:r>
          </w:p>
        </w:tc>
        <w:tc>
          <w:tcPr>
            <w:tcW w:type="dxa" w:w="669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Числовая оценка критичности уязвимости, используемая для сопоставления риска.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</w:t>
            </w:r>
          </w:p>
        </w:tc>
        <w:tc>
          <w:tcPr>
            <w:tcW w:type="dxa" w:w="669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Классификация типа слабости программного обеспечения, если она указана в инструменте.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Прямая зависимость</w:t>
            </w:r>
          </w:p>
        </w:tc>
        <w:tc>
          <w:tcPr>
            <w:tcW w:type="dxa" w:w="669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Компонент, подключенный к проекту явно.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Транзитивная зависимость</w:t>
            </w:r>
          </w:p>
        </w:tc>
        <w:tc>
          <w:tcPr>
            <w:tcW w:type="dxa" w:w="669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Компонент, попавший в проект через другую зависимость.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Policy alert</w:t>
            </w:r>
          </w:p>
        </w:tc>
        <w:tc>
          <w:tcPr>
            <w:tcW w:type="dxa" w:w="669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Срабатывание правила или политики, связанное с уязвимостью, лицензией или иным риском.</w:t>
            </w:r>
          </w:p>
        </w:tc>
      </w:tr>
    </w:tbl>
    <w:p/>
    <w:p>
      <w:pPr>
        <w:pStyle w:val="Heading1"/>
      </w:pPr>
      <w:r>
        <w:t>4. Исходные данные и программная среда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Практическая работа выполняется на основе материалов, полученных в Практикуме 1. Перед началом анализа у обучающегося должны быть доступны результаты сканирования одного и того же тестового проекта в Code Scoring и Solar appScreener, SBOM-файл, PDF-отчет Code Scoring, экспортируемый отчет Solar appScreener и таблица состава компонентов, версий и лицензий.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Если часть исходных материалов отсутствует, обучающийся должен зафиксировать это в отчете и использовать доступные данные. При этом сравнение двух инструментов следует выполнять только по тем показателям, которые действительно можно подтвердить интерфейсом или экспортируемыми артефактами.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11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Исходный материал</w:t>
            </w:r>
          </w:p>
        </w:tc>
        <w:tc>
          <w:tcPr>
            <w:tcW w:type="dxa" w:w="5953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Для чего используется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Результаты анализа в Code Scoring</w:t>
            </w:r>
          </w:p>
        </w:tc>
        <w:tc>
          <w:tcPr>
            <w:tcW w:type="dxa" w:w="595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Для изучения разделов Vulnerabilities, Dependencies и Policy alerts.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SBoM и PDF из Code Scoring</w:t>
            </w:r>
          </w:p>
        </w:tc>
        <w:tc>
          <w:tcPr>
            <w:tcW w:type="dxa" w:w="595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Для проверки сведений, полученных в интерфейсе, и фиксации экспортируемых данных.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Результаты OSA-анализа в Solar appScreener</w:t>
            </w:r>
          </w:p>
        </w:tc>
        <w:tc>
          <w:tcPr>
            <w:tcW w:type="dxa" w:w="595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Для анализа уязвимых компонентов, уровней критичности и типа зависимостей.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Экспортируемый отчет Solar appScreener</w:t>
            </w:r>
          </w:p>
        </w:tc>
        <w:tc>
          <w:tcPr>
            <w:tcW w:type="dxa" w:w="595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Для сопоставления интерфейса и отчетного представления результатов.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Таблица компонентов из Практикума 1</w:t>
            </w:r>
          </w:p>
        </w:tc>
        <w:tc>
          <w:tcPr>
            <w:tcW w:type="dxa" w:w="595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Для проверки названий компонентов, версий, лицензий и наличия компонента в каждой системе.</w:t>
            </w:r>
          </w:p>
        </w:tc>
      </w:tr>
    </w:tbl>
    <w:p/>
    <w:p>
      <w:pPr>
        <w:pStyle w:val="Heading1"/>
      </w:pPr>
      <w:r>
        <w:t>5. Организация выполнения практической работы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Работа выполняется как индивидуальный аналитический разбор результатов композиционного анализа. Обучающийся использует уже полученные артефакты и интерфейсы двух инструментов, но в отчете описывает не последовательность нажатий в системе, а результаты наблюдений, найденные закономерности и подтвержденные различия между представлением данных.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В ходе работы необходимо придерживаться единого принципа: каждое значение в таблице должно иметь источник. Если показатель взят из интерфейса, это можно отметить в комментарии или подтвердить скриншотом. Если показатель взят из PDF или SBOM, следует указать соответствующий артефакт. Не допускается заменять отсутствующие данные предположениями.</w:t>
      </w:r>
    </w:p>
    <w:p>
      <w:pPr>
        <w:pStyle w:val="Heading2"/>
      </w:pPr>
      <w:r>
        <w:t>5.1. Анализ результатов Code Scoring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В Code Scoring обучающийся рассматривает результаты тестового проекта через несколько смысловых блоков: общую страницу проекта, раздел Vulnerabilities, раздел Dependencies и раздел Policy alerts. Сначала фиксируется общий профиль проблем: общее количество найденных уязвимостей, распределение по уровням критичности, наличие Critical и High уязвимостей, а также наличие активных срабатываний политик.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Затем обучающийся отбирает для детального разбора не менее десяти уязвимостей. В первую очередь анализируются все Critical и High уязвимости, если они присутствуют. Если таких находок недостаточно, выборка дополняется Medium-уязвимостями. Для каждой выбранной записи необходимо зафиксировать идентификатор, краткое описание или название, критичность, CVSS-оценку, компонент, версию компонента, сведения о CWE или иных классификаторах, а также информацию о доступном исправлении, если она отображается.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После анализа списка уязвимостей важно связать их с компонентами в разделе Dependencies. Обучающийся определяет, какие библиотеки чаще всего встречаются среди проблемных, какие компоненты связаны сразу с несколькими уязвимостями и совпадают ли эти компоненты с данными, зафиксированными в Практикуме 1. Такой анализ позволяет увидеть не просто количество проблем, а источники основного риска.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Отдельно рассматриваются Policy alerts. В отчете необходимо отразить, сколько всего срабатываний политик обнаружено, какие политики сработали, какие компоненты или уязвимости стали причиной срабатывания и совпадают ли наиболее критичные уязвимости с политическими ограничениями. Если срабатывание связано не только с уязвимостью, но и с лицензией или иным признаком, это нужно отметить отдельно.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Завершающая часть работы с Code Scoring связана с проверкой интерпретации через артефакты. Обучающийся сопоставляет интерфейс с PDF-отчетом и SBoM: проверяет совпадение количества зависимостей и уязвимостей, наличие распределения по критичности, возможность установить связь между компонентом, версией и уязвимостью, а также удобство каждого формата для ручного анализа.</w:t>
      </w:r>
    </w:p>
    <w:p>
      <w:pPr>
        <w:pStyle w:val="Heading2"/>
      </w:pPr>
      <w:r>
        <w:t>5.2. Анализ результатов Solar appScreener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В Solar appScreener обучающийся работает с проектом OSA и рассматривает общую картину результатов анализа сторонних компонентов. В обзорной части фиксируются общее количество компонентов, количество уязвимых компонентов, распределение уязвимостей по уровням критичности, рейтинг или итоговая оценка проекта, если она отображается, а также визуальные элементы, помогающие быстро оценить состояние проекта.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В разделе подробных результатов обучающийся выделяет наиболее показательные проблемные компоненты. В выборку следует включать компоненты с критическими и высокими уязвимостями, компоненты, которые также встречались в Code Scoring, и при наличии компоненты, отображающиеся только в одном из инструментов. Для каждого компонента фиксируются название, версия, число уязвимостей, уровни критичности, наличие лицензионных или иных дополнительных рисков и тип зависимости, если он указан в интерфейсе.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Особое внимание уделяется связи уязвимостей с прямыми и транзитивными зависимостями. Для части выбранных уязвимостей обучающийся определяет компонент-источник, фиксирует тип зависимости в Solar appScreener и проверяет, встречается ли та же проблема в Code Scoring. Если одна и та же уязвимость отображается по-разному, различия заносятся в комментарий итоговой таблицы.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Раздел сканирований используется для фиксации параметров последнего запуска: даты и времени, статуса, длительности, количества компонентов, количества уязвимых компонентов и распределения по критичности. Эти сведения помогают подтвердить, что в отчете анализируется конкретный запуск, а не произвольный набор данных.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После работы в интерфейсе обучающийся сопоставляет результаты с экспортируемым отчетом Solar appScreener. Нужно проверить, отражены ли в отчете те же проблемные компоненты, совпадает ли количество уязвимостей, удобно ли искать критичные проблемы и можно ли использовать отчет как самостоятельное основание для ручного разбора.</w:t>
      </w:r>
    </w:p>
    <w:p>
      <w:pPr>
        <w:pStyle w:val="Heading2"/>
      </w:pPr>
      <w:r>
        <w:t>5.3. Сравнение результатов двух инструментов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Сравнение Code Scoring и Solar appScreener выполняется по единым критериям. Обучающийся сопоставляет не только общее количество уязвимостей, но и совпадение конкретных находок, различия в критичности одной и той же проблемы, удобство перехода от уязвимости к компоненту, наличие информации о прямых и транзитивных зависимостях, а также качество представления результатов в интерфейсе и отчетах.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Итогом сравнения становится сводная таблица уязвимостей. В нее включается не менее десяти строк. В таблице должны быть представлены как совпадающие уязвимости, обнаруженные обеими системами, так и находки, которые видны только в одном инструменте, если такие случаи присутствуют в данных. Как минимум для части строк необходимо указать тип зависимости: прямая или транзитивная.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При формулировке сравнительного вывода важно избегать категоричных утверждений, которые не подтверждаются данными. Если инструмент показывает больше уязвимостей, это не всегда означает, что он во всех случаях “лучше”: различия могут быть связаны с базами знаний, способом обработки SBOM, представлением транзитивных зависимостей, правилами агрегации или доступностью данных в отчете.</w:t>
      </w:r>
    </w:p>
    <w:p>
      <w:pPr>
        <w:pStyle w:val="Heading1"/>
      </w:pPr>
      <w:r>
        <w:t>6. Фиксация результатов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Результаты работы оформляются в отчете. В нем должны быть представлены сводные показатели по двум системам, таблица выбранных уязвимостей и текстовое сравнение результатов. Таблицы ниже можно использовать как основу для отчета.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294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Показатель</w:t>
            </w:r>
          </w:p>
        </w:tc>
        <w:tc>
          <w:tcPr>
            <w:tcW w:type="dxa" w:w="198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Code Scoring</w:t>
            </w:r>
          </w:p>
        </w:tc>
        <w:tc>
          <w:tcPr>
            <w:tcW w:type="dxa" w:w="215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Solar appScreener</w:t>
            </w:r>
          </w:p>
        </w:tc>
        <w:tc>
          <w:tcPr>
            <w:tcW w:type="dxa" w:w="198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Статус анализируемого сканирования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15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и время сканирования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15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Длительность анализа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15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Общее количество компонентов / зависимостей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15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Количество уязвимых компонентов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15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Общее количество уязвимостей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15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Critical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15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15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15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15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Наличие Policy alerts / дополнительных рисков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15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Рейтинг или итоговая оценка проекта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15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</w:tbl>
    <w:p/>
    <w:p>
      <w:pPr>
        <w:sectPr>
          <w:footerReference w:type="default" r:id="rId9"/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Таблица 1. Сводная таблица уязвимостей по двум инструментам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В таблицу включаются не менее десяти уязвимостей. Для совпадающих находок необходимо заполнить данные по обеим системам. Если уязвимость обнаружена только в одном инструменте, во второй части таблицы следует указать “нет” или оставить поле пустым с пояснением в комментарии.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</w:tblGrid>
      <w:tr>
        <w:trPr>
          <w:tblHeader w:val="true"/>
          <w:cantSplit/>
        </w:trPr>
        <w:tc>
          <w:tcPr>
            <w:tcW w:type="dxa" w:w="397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№</w:t>
            </w:r>
          </w:p>
        </w:tc>
        <w:tc>
          <w:tcPr>
            <w:tcW w:type="dxa" w:w="147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Компонент</w:t>
            </w:r>
          </w:p>
        </w:tc>
        <w:tc>
          <w:tcPr>
            <w:tcW w:type="dxa" w:w="79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Версия</w:t>
            </w:r>
          </w:p>
        </w:tc>
        <w:tc>
          <w:tcPr>
            <w:tcW w:type="dxa" w:w="68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Тип</w:t>
              <w:br/>
              <w:t>завис.</w:t>
            </w:r>
          </w:p>
        </w:tc>
        <w:tc>
          <w:tcPr>
            <w:tcW w:type="dxa" w:w="130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Уязвимость /</w:t>
              <w:br/>
              <w:t>ID</w:t>
            </w:r>
          </w:p>
        </w:tc>
        <w:tc>
          <w:tcPr>
            <w:tcW w:type="dxa" w:w="737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Code</w:t>
              <w:br/>
              <w:t>Scoring</w:t>
            </w:r>
          </w:p>
        </w:tc>
        <w:tc>
          <w:tcPr>
            <w:tcW w:type="dxa" w:w="85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Solar</w:t>
              <w:br/>
              <w:t>appScreener</w:t>
            </w:r>
          </w:p>
        </w:tc>
        <w:tc>
          <w:tcPr>
            <w:tcW w:type="dxa" w:w="68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Крит.</w:t>
              <w:br/>
              <w:t>CS</w:t>
            </w:r>
          </w:p>
        </w:tc>
        <w:tc>
          <w:tcPr>
            <w:tcW w:type="dxa" w:w="737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Крит.</w:t>
              <w:br/>
              <w:t>Solar</w:t>
            </w:r>
          </w:p>
        </w:tc>
        <w:tc>
          <w:tcPr>
            <w:tcW w:type="dxa" w:w="62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CVSS</w:t>
              <w:br/>
              <w:t>CS</w:t>
            </w:r>
          </w:p>
        </w:tc>
        <w:tc>
          <w:tcPr>
            <w:tcW w:type="dxa" w:w="68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CVSS</w:t>
              <w:br/>
              <w:t>Solar</w:t>
            </w:r>
          </w:p>
        </w:tc>
        <w:tc>
          <w:tcPr>
            <w:tcW w:type="dxa" w:w="79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Policy</w:t>
              <w:br/>
              <w:t>alert CS</w:t>
            </w:r>
          </w:p>
        </w:tc>
        <w:tc>
          <w:tcPr>
            <w:tcW w:type="dxa" w:w="62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В PDF</w:t>
            </w:r>
          </w:p>
        </w:tc>
        <w:tc>
          <w:tcPr>
            <w:tcW w:type="dxa" w:w="192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Комментарий</w:t>
              <w:br/>
              <w:t>по различиям</w:t>
            </w:r>
          </w:p>
        </w:tc>
      </w:tr>
      <w:tr>
        <w:trPr>
          <w:cantSplit/>
        </w:trPr>
        <w:tc>
          <w:tcPr>
            <w:tcW w:type="dxa" w:w="3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47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147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47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47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147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</w:t>
            </w:r>
          </w:p>
        </w:tc>
        <w:tc>
          <w:tcPr>
            <w:tcW w:type="dxa" w:w="147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7</w:t>
            </w:r>
          </w:p>
        </w:tc>
        <w:tc>
          <w:tcPr>
            <w:tcW w:type="dxa" w:w="147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147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9</w:t>
            </w:r>
          </w:p>
        </w:tc>
        <w:tc>
          <w:tcPr>
            <w:tcW w:type="dxa" w:w="147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10</w:t>
            </w:r>
          </w:p>
        </w:tc>
        <w:tc>
          <w:tcPr>
            <w:tcW w:type="dxa" w:w="147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7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1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</w:tbl>
    <w:p/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7. Требования к отчету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Отчет по практической работе должен быть самостоятельным документом, по которому можно понять, какие результаты анализа уязвимостей были изучены, какие уязвимости выбраны для разбора, как они связаны с компонентами проекта и какие различия выявлены между Code Scoring и Solar appScreener.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Рекомендуемая структура отчета: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титульная часть с названием практической работы, ФИО обучающегося и датой выполнения;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краткое описание цели работы и используемых исходных материалов;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сводка по результатам Code Scoring;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сводка по результатам Solar appScreener;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таблица выбранных уязвимостей с сопоставлением данных двух инструментов;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анализ проблемных компонентов и связи уязвимостей с зависимостями;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сравнительный анализ двух систем по заданным критериям;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вывод по результатам практической работы;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при необходимости — скриншоты или перечень использованных экспортируемых артефактов.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К отчету следует приложить или перечислить использованные материалы: PDF-отчет Code Scoring, SBOM-файл, экспортируемый отчет Solar appScreener, таблицу компонентов из Практикума 1 и заполненную таблицу уязвимостей. Если часть данных взята из интерфейса, это желательно подтвердить скриншотом или явным указанием раздела системы.</w:t>
      </w:r>
    </w:p>
    <w:p>
      <w:pPr>
        <w:pStyle w:val="Heading1"/>
      </w:pPr>
      <w:r>
        <w:t>8. Требования к сравнительному анализу и выводу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Сравнительный анализ должен быть содержательным, но опираться только на подтвержденные данные. Обучающийся должен показать, как две системы представляют одну и ту же задачу анализа уязвимостей: какие данные совпадают, где есть расхождения, какие сведения легче извлечь из интерфейса, а какие удобнее проверять по отчету.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В сравнении рекомендуется рассмотреть следующие аспекты: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</w:rPr>
        <w:t>общее количество найденных уязвимостей;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</w:rPr>
        <w:t>наличие совпадающих и несовпадающих находок;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</w:rPr>
        <w:t>различия в критичности одной и той же проблемы;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</w:rPr>
        <w:t>удобство перехода от уязвимости к компоненту;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</w:rPr>
        <w:t>удобство определения прямой и транзитивной зависимости;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</w:rPr>
        <w:t>наличие и наглядность policy-based интерпретации;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</w:rPr>
        <w:t>удобство чтения экспортируемых отчетов;</w:t>
      </w:r>
    </w:p>
    <w:p>
      <w:pPr>
        <w:pStyle w:val="ListNumber"/>
        <w:spacing w:after="60"/>
        <w:jc w:val="both"/>
      </w:pPr>
      <w:r>
        <w:rPr>
          <w:rFonts w:ascii="Times New Roman" w:hAnsi="Times New Roman" w:eastAsia="Times New Roman"/>
        </w:rPr>
        <w:t>полезность интерфейса для ручного анализа.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</w:rPr>
        <w:t>Итоговый вывод должен фиксировать, какие проблемные компоненты оказались наиболее значимыми, какие уязвимости совпали в двух инструментах, какие различия были обнаружены в критичности или отображении данных, а также какой формат оказался удобнее для ручной интерпретации результатов. Вывод не должен ограничиваться фразой о том, что анализ был выполнен; он должен отражать смысл полученных результатов.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551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Элемент вывода</w:t>
            </w:r>
          </w:p>
        </w:tc>
        <w:tc>
          <w:tcPr>
            <w:tcW w:type="dxa" w:w="652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нужно отразить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Объект анализа</w:t>
            </w:r>
          </w:p>
        </w:tc>
        <w:tc>
          <w:tcPr>
            <w:tcW w:type="dxa" w:w="6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Указать, что анализировались уязвимости сторонних компонентов одного тестового проекта.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Ключевые находки</w:t>
            </w:r>
          </w:p>
        </w:tc>
        <w:tc>
          <w:tcPr>
            <w:tcW w:type="dxa" w:w="6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Назвать наиболее проблемные компоненты и уровни критичности выявленных уязвимостей.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Совпадения</w:t>
            </w:r>
          </w:p>
        </w:tc>
        <w:tc>
          <w:tcPr>
            <w:tcW w:type="dxa" w:w="6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Отметить уязвимости или компоненты, которые обнаружены обеими системами.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Расхождения</w:t>
            </w:r>
          </w:p>
        </w:tc>
        <w:tc>
          <w:tcPr>
            <w:tcW w:type="dxa" w:w="6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Описать различия в наличии находок, критичности, CVSS или представлении зависимостей.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Интерпретация</w:t>
            </w:r>
          </w:p>
        </w:tc>
        <w:tc>
          <w:tcPr>
            <w:tcW w:type="dxa" w:w="6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Пояснить, какой инструмент и какой формат удобнее использовать для отдельных аналитических задач.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Ограничения</w:t>
            </w:r>
          </w:p>
        </w:tc>
        <w:tc>
          <w:tcPr>
            <w:tcW w:type="dxa" w:w="6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Указать, какие данные не удалось подтвердить или какие показатели отсутствовали в отчетах.</w:t>
            </w:r>
          </w:p>
        </w:tc>
      </w:tr>
    </w:tbl>
    <w:p/>
    <w:p>
      <w:pPr>
        <w:pStyle w:val="Heading1"/>
      </w:pPr>
      <w:r>
        <w:t>9. Контрольные вопросы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Почему при анализе уязвимости важно фиксировать не только ее идентификатор, но и компонент с версией?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Чем прямая зависимость отличается от транзитивной и почему это важно для интерпретации риска?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Какие сведения дает CVSS-оценка и почему ее недостаточно для полного вывода о риске?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Как Policy alerts помогают связать технические находки с практическими ограничениями?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Почему результаты двух инструментов могут отличаться при анализе одного и того же проекта?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Какие данные удобнее анализировать в интерфейсе, а какие — в экспортируемом отчете?</w:t>
      </w:r>
    </w:p>
    <w:p>
      <w:pPr>
        <w:pStyle w:val="ListBullet"/>
        <w:spacing w:after="60"/>
        <w:jc w:val="both"/>
      </w:pPr>
      <w:r>
        <w:rPr>
          <w:rFonts w:ascii="Times New Roman" w:hAnsi="Times New Roman" w:eastAsia="Times New Roman"/>
        </w:rPr>
        <w:t>Какие ограничения необходимо указать, если часть сведений отсутствует в одном из инструментов?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</w:r>
    <w:r>
      <w:rPr>
        <w:rFonts w:ascii="Times New Roman" w:hAnsi="Times New Roman" w:eastAsia="Times New Roman"/>
        <w:sz w:val="20"/>
      </w:rPr>
      <w:t xml:space="preserve">Практическая работа №2. Анализ уязвимостей — </w:t>
    </w:r>
    <w:r>
      <w:rPr>
        <w:rFonts w:ascii="Times New Roman" w:hAnsi="Times New Roman" w:eastAsia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60"/>
      <w:ind w:left="425" w:hanging="142"/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60"/>
      <w:ind w:left="425" w:hanging="142"/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для обучающихся к практической работе №2</dc:title>
  <dc:subject>Анализ уязвимостей в Code Scoring и Solar appScreener</dc:subject>
  <dc:creator/>
  <cp:keywords>SCA, OSA, SBOM, CVE, CVSS, CWE, Code Scoring, Solar appScreener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