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EEA" w:rsidRPr="00451E72" w:rsidRDefault="00C70EEA" w:rsidP="00C70EEA">
      <w:pPr>
        <w:bidi/>
        <w:spacing w:line="276" w:lineRule="auto"/>
        <w:rPr>
          <w:rFonts w:ascii="Sakkal Majalla" w:hAnsi="Sakkal Majalla" w:cs="Sakkal Majalla"/>
          <w:b/>
          <w:bCs/>
          <w:sz w:val="40"/>
          <w:szCs w:val="40"/>
          <w:u w:val="single"/>
        </w:rPr>
      </w:pPr>
      <w:r w:rsidRPr="00451E72">
        <w:rPr>
          <w:rFonts w:ascii="Sakkal Majalla" w:hAnsi="Sakkal Majalla" w:cs="Sakkal Majalla"/>
          <w:b/>
          <w:bCs/>
          <w:sz w:val="40"/>
          <w:szCs w:val="40"/>
          <w:u w:val="single"/>
          <w:rtl/>
        </w:rPr>
        <w:t>كتاب وسائل التوابين</w:t>
      </w:r>
      <w:r w:rsidRPr="00451E72">
        <w:rPr>
          <w:rFonts w:ascii="Sakkal Majalla" w:hAnsi="Sakkal Majalla" w:cs="Sakkal Majalla"/>
          <w:b/>
          <w:bCs/>
          <w:sz w:val="40"/>
          <w:szCs w:val="40"/>
          <w:u w:val="single"/>
        </w:rPr>
        <w:t xml:space="preserve"> </w:t>
      </w:r>
    </w:p>
    <w:p w:rsidR="00C70EEA" w:rsidRPr="00451E72" w:rsidRDefault="00C70EEA" w:rsidP="00C70EEA">
      <w:pPr>
        <w:bidi/>
        <w:spacing w:line="276" w:lineRule="auto"/>
        <w:rPr>
          <w:rFonts w:ascii="Sakkal Majalla" w:hAnsi="Sakkal Majalla" w:cs="Sakkal Majalla"/>
          <w:b/>
          <w:bCs/>
          <w:sz w:val="40"/>
          <w:szCs w:val="40"/>
          <w:u w:val="single"/>
        </w:rPr>
      </w:pPr>
      <w:r w:rsidRPr="00451E72">
        <w:rPr>
          <w:rFonts w:ascii="Sakkal Majalla" w:hAnsi="Sakkal Majalla" w:cs="Sakkal Majalla"/>
          <w:b/>
          <w:bCs/>
          <w:sz w:val="40"/>
          <w:szCs w:val="40"/>
          <w:u w:val="single"/>
          <w:rtl/>
        </w:rPr>
        <w:t>وسائل السائرين</w:t>
      </w:r>
      <w:r w:rsidRPr="00451E72">
        <w:rPr>
          <w:rFonts w:ascii="Sakkal Majalla" w:hAnsi="Sakkal Majalla" w:cs="Sakkal Majalla"/>
          <w:b/>
          <w:bCs/>
          <w:sz w:val="40"/>
          <w:szCs w:val="40"/>
          <w:u w:val="single"/>
        </w:rPr>
        <w:t xml:space="preserve"> </w:t>
      </w:r>
    </w:p>
    <w:p w:rsidR="00C70EEA" w:rsidRPr="00451E72" w:rsidRDefault="00C70EEA" w:rsidP="00C70EEA">
      <w:pPr>
        <w:bidi/>
        <w:spacing w:line="276" w:lineRule="auto"/>
        <w:rPr>
          <w:rFonts w:ascii="Sakkal Majalla" w:hAnsi="Sakkal Majalla" w:cs="Sakkal Majalla"/>
          <w:b/>
          <w:bCs/>
          <w:sz w:val="40"/>
          <w:szCs w:val="40"/>
          <w:u w:val="single"/>
        </w:rPr>
      </w:pPr>
      <w:r w:rsidRPr="00451E72">
        <w:rPr>
          <w:rFonts w:ascii="Sakkal Majalla" w:hAnsi="Sakkal Majalla" w:cs="Sakkal Majalla"/>
          <w:b/>
          <w:bCs/>
          <w:sz w:val="40"/>
          <w:szCs w:val="40"/>
          <w:u w:val="single"/>
          <w:rtl/>
        </w:rPr>
        <w:t>وسائل السالكين</w:t>
      </w:r>
      <w:r w:rsidRPr="00451E72">
        <w:rPr>
          <w:rFonts w:ascii="Sakkal Majalla" w:hAnsi="Sakkal Majalla" w:cs="Sakkal Majalla"/>
          <w:b/>
          <w:bCs/>
          <w:sz w:val="40"/>
          <w:szCs w:val="40"/>
          <w:u w:val="single"/>
        </w:rPr>
        <w:t xml:space="preserve"> </w:t>
      </w:r>
    </w:p>
    <w:p w:rsidR="00C70EEA" w:rsidRPr="00451E72" w:rsidRDefault="00C70EEA" w:rsidP="00C70EEA">
      <w:pPr>
        <w:bidi/>
        <w:spacing w:line="276" w:lineRule="auto"/>
        <w:rPr>
          <w:rFonts w:ascii="Sakkal Majalla" w:hAnsi="Sakkal Majalla" w:cs="Sakkal Majalla"/>
          <w:b/>
          <w:bCs/>
          <w:sz w:val="40"/>
          <w:szCs w:val="40"/>
          <w:u w:val="single"/>
        </w:rPr>
      </w:pPr>
      <w:r w:rsidRPr="00451E72">
        <w:rPr>
          <w:rFonts w:ascii="Sakkal Majalla" w:hAnsi="Sakkal Majalla" w:cs="Sakkal Majalla"/>
          <w:b/>
          <w:bCs/>
          <w:sz w:val="40"/>
          <w:szCs w:val="40"/>
          <w:u w:val="single"/>
          <w:rtl/>
        </w:rPr>
        <w:t>في فضائل الإعمال واحياء صفات الدين</w:t>
      </w:r>
      <w:r w:rsidRPr="00451E72">
        <w:rPr>
          <w:rFonts w:ascii="Sakkal Majalla" w:hAnsi="Sakkal Majalla" w:cs="Sakkal Majalla"/>
          <w:b/>
          <w:bCs/>
          <w:sz w:val="40"/>
          <w:szCs w:val="40"/>
          <w:u w:val="single"/>
        </w:rPr>
        <w:t xml:space="preserve"> </w:t>
      </w:r>
    </w:p>
    <w:p w:rsidR="00C70EEA" w:rsidRDefault="00566DEE" w:rsidP="00C70EEA">
      <w:pPr>
        <w:spacing w:line="360" w:lineRule="auto"/>
        <w:jc w:val="center"/>
        <w:rPr>
          <w:sz w:val="28"/>
          <w:szCs w:val="28"/>
          <w:rtl/>
        </w:rPr>
      </w:pPr>
      <w:r>
        <w:rPr>
          <w:rFonts w:hint="cs"/>
          <w:sz w:val="28"/>
          <w:szCs w:val="28"/>
          <w:rtl/>
        </w:rPr>
        <w:t xml:space="preserve">( يراجع ملف " الأبحاث المنتهية "  للتأكد من ان جميع الأبواب قد تم سحبها من هناك الى الملف الجديد ( هدى للعالمين ،  التحقيق الأول من كتاب فقه الهداية ) </w:t>
      </w:r>
    </w:p>
    <w:p w:rsidR="00C70EEA" w:rsidRDefault="00C70EEA" w:rsidP="006B5882">
      <w:pPr>
        <w:spacing w:line="360" w:lineRule="auto"/>
        <w:jc w:val="right"/>
        <w:rPr>
          <w:sz w:val="28"/>
          <w:szCs w:val="28"/>
          <w:rtl/>
        </w:rPr>
      </w:pPr>
    </w:p>
    <w:p w:rsidR="00C70EEA" w:rsidRPr="008A6FCD" w:rsidRDefault="006C1096" w:rsidP="006B5882">
      <w:pPr>
        <w:spacing w:line="360" w:lineRule="auto"/>
        <w:jc w:val="right"/>
        <w:rPr>
          <w:sz w:val="28"/>
          <w:szCs w:val="28"/>
          <w:rtl/>
        </w:rPr>
      </w:pPr>
      <w:r w:rsidRPr="008A6FCD">
        <w:rPr>
          <w:rFonts w:hint="cs"/>
          <w:sz w:val="28"/>
          <w:szCs w:val="28"/>
          <w:rtl/>
        </w:rPr>
        <w:t xml:space="preserve">1- تحقيق ارقام الآيات والسور ونص الآية </w:t>
      </w:r>
    </w:p>
    <w:p w:rsidR="006C1096" w:rsidRPr="008A6FCD" w:rsidRDefault="006C1096" w:rsidP="006B5882">
      <w:pPr>
        <w:pStyle w:val="ListParagraph"/>
        <w:spacing w:line="360" w:lineRule="auto"/>
        <w:jc w:val="right"/>
        <w:rPr>
          <w:sz w:val="28"/>
          <w:szCs w:val="28"/>
          <w:rtl/>
        </w:rPr>
      </w:pPr>
      <w:r w:rsidRPr="008A6FCD">
        <w:rPr>
          <w:rFonts w:hint="cs"/>
          <w:sz w:val="28"/>
          <w:szCs w:val="28"/>
          <w:rtl/>
        </w:rPr>
        <w:t xml:space="preserve">2 </w:t>
      </w:r>
      <w:r w:rsidRPr="008A6FCD">
        <w:rPr>
          <w:sz w:val="28"/>
          <w:szCs w:val="28"/>
          <w:rtl/>
        </w:rPr>
        <w:t>–</w:t>
      </w:r>
      <w:r w:rsidRPr="008A6FCD">
        <w:rPr>
          <w:rFonts w:hint="cs"/>
          <w:sz w:val="28"/>
          <w:szCs w:val="28"/>
          <w:rtl/>
        </w:rPr>
        <w:t xml:space="preserve"> تحقيق وتخريج الحديث من مصادره </w:t>
      </w:r>
    </w:p>
    <w:p w:rsidR="006C1096" w:rsidRPr="008A6FCD" w:rsidRDefault="006C1096" w:rsidP="006B5882">
      <w:pPr>
        <w:pStyle w:val="ListParagraph"/>
        <w:spacing w:line="360" w:lineRule="auto"/>
        <w:jc w:val="right"/>
        <w:rPr>
          <w:sz w:val="28"/>
          <w:szCs w:val="28"/>
          <w:rtl/>
        </w:rPr>
      </w:pPr>
      <w:r w:rsidRPr="008A6FCD">
        <w:rPr>
          <w:rFonts w:hint="cs"/>
          <w:sz w:val="28"/>
          <w:szCs w:val="28"/>
          <w:rtl/>
        </w:rPr>
        <w:t xml:space="preserve">3- تحقيق الآثار ومراجعها </w:t>
      </w:r>
    </w:p>
    <w:p w:rsidR="006C1096" w:rsidRPr="008A6FCD" w:rsidRDefault="006C1096" w:rsidP="006B5882">
      <w:pPr>
        <w:pStyle w:val="ListParagraph"/>
        <w:spacing w:line="360" w:lineRule="auto"/>
        <w:jc w:val="right"/>
        <w:rPr>
          <w:sz w:val="28"/>
          <w:szCs w:val="28"/>
          <w:rtl/>
        </w:rPr>
      </w:pPr>
      <w:r w:rsidRPr="008A6FCD">
        <w:rPr>
          <w:rFonts w:hint="cs"/>
          <w:sz w:val="28"/>
          <w:szCs w:val="28"/>
          <w:rtl/>
        </w:rPr>
        <w:t xml:space="preserve">4- تحقيق الأشعار ومراجها </w:t>
      </w:r>
    </w:p>
    <w:p w:rsidR="006C1096" w:rsidRPr="008A6FCD" w:rsidRDefault="006C1096" w:rsidP="006B5882">
      <w:pPr>
        <w:pStyle w:val="ListParagraph"/>
        <w:spacing w:line="360" w:lineRule="auto"/>
        <w:jc w:val="right"/>
        <w:rPr>
          <w:sz w:val="28"/>
          <w:szCs w:val="28"/>
          <w:rtl/>
        </w:rPr>
      </w:pPr>
      <w:r w:rsidRPr="008A6FCD">
        <w:rPr>
          <w:rFonts w:hint="cs"/>
          <w:sz w:val="28"/>
          <w:szCs w:val="28"/>
          <w:rtl/>
        </w:rPr>
        <w:tab/>
        <w:t>5- هل يمكن الإستدلال بأقوال توافق الشريعة لأناس مختلف في عقائدهم ؟</w:t>
      </w:r>
    </w:p>
    <w:p w:rsidR="006C1096" w:rsidRPr="008A6FCD" w:rsidRDefault="006C1096" w:rsidP="006B5882">
      <w:pPr>
        <w:pStyle w:val="ListParagraph"/>
        <w:spacing w:line="360" w:lineRule="auto"/>
        <w:jc w:val="right"/>
        <w:rPr>
          <w:sz w:val="28"/>
          <w:szCs w:val="28"/>
          <w:rtl/>
        </w:rPr>
      </w:pPr>
      <w:r w:rsidRPr="008A6FCD">
        <w:rPr>
          <w:rFonts w:hint="cs"/>
          <w:sz w:val="28"/>
          <w:szCs w:val="28"/>
          <w:rtl/>
        </w:rPr>
        <w:t xml:space="preserve">6- تحقيق اللغة العربية </w:t>
      </w:r>
    </w:p>
    <w:p w:rsidR="006C1096" w:rsidRPr="008A6FCD" w:rsidRDefault="006C1096" w:rsidP="006B5882">
      <w:pPr>
        <w:pStyle w:val="ListParagraph"/>
        <w:spacing w:line="360" w:lineRule="auto"/>
        <w:jc w:val="right"/>
        <w:rPr>
          <w:sz w:val="28"/>
          <w:szCs w:val="28"/>
          <w:rtl/>
        </w:rPr>
      </w:pPr>
      <w:r w:rsidRPr="008A6FCD">
        <w:rPr>
          <w:rFonts w:hint="cs"/>
          <w:sz w:val="28"/>
          <w:szCs w:val="28"/>
          <w:rtl/>
        </w:rPr>
        <w:t xml:space="preserve">7- التشكيل </w:t>
      </w:r>
    </w:p>
    <w:p w:rsidR="006C1096" w:rsidRDefault="006C1096" w:rsidP="006B5882">
      <w:pPr>
        <w:pStyle w:val="ListParagraph"/>
        <w:spacing w:line="360" w:lineRule="auto"/>
        <w:ind w:left="-360"/>
        <w:jc w:val="right"/>
        <w:rPr>
          <w:sz w:val="28"/>
          <w:szCs w:val="28"/>
          <w:rtl/>
        </w:rPr>
      </w:pPr>
      <w:r w:rsidRPr="008A6FCD">
        <w:rPr>
          <w:rFonts w:hint="cs"/>
          <w:sz w:val="28"/>
          <w:szCs w:val="28"/>
          <w:rtl/>
        </w:rPr>
        <w:t xml:space="preserve">8- </w:t>
      </w:r>
      <w:r w:rsidR="00F33CE1">
        <w:rPr>
          <w:rFonts w:hint="cs"/>
          <w:sz w:val="28"/>
          <w:szCs w:val="28"/>
          <w:rtl/>
        </w:rPr>
        <w:t xml:space="preserve">التعريف بأصحاب الآثار والأقوال من الصحابة والتابعين ومن بعدهم من الخلف والسلف </w:t>
      </w:r>
    </w:p>
    <w:p w:rsidR="00451E72" w:rsidRDefault="00451E72" w:rsidP="006B5882">
      <w:pPr>
        <w:pStyle w:val="ListParagraph"/>
        <w:spacing w:line="360" w:lineRule="auto"/>
        <w:ind w:left="-360"/>
        <w:jc w:val="right"/>
        <w:rPr>
          <w:sz w:val="28"/>
          <w:szCs w:val="28"/>
          <w:rtl/>
        </w:rPr>
      </w:pPr>
      <w:r>
        <w:rPr>
          <w:rFonts w:hint="cs"/>
          <w:sz w:val="28"/>
          <w:szCs w:val="28"/>
          <w:rtl/>
        </w:rPr>
        <w:t xml:space="preserve">9- كتابة الآيات بخط المصحف العثماني </w:t>
      </w:r>
    </w:p>
    <w:p w:rsidR="006B5882" w:rsidRDefault="006B5882" w:rsidP="006B5882">
      <w:pPr>
        <w:pStyle w:val="ListParagraph"/>
        <w:spacing w:line="360" w:lineRule="auto"/>
        <w:ind w:left="-360"/>
        <w:jc w:val="right"/>
        <w:rPr>
          <w:sz w:val="28"/>
          <w:szCs w:val="28"/>
          <w:rtl/>
        </w:rPr>
      </w:pPr>
      <w:r>
        <w:rPr>
          <w:rFonts w:hint="cs"/>
          <w:sz w:val="28"/>
          <w:szCs w:val="28"/>
          <w:rtl/>
        </w:rPr>
        <w:t xml:space="preserve">10-  التبويب المناسب لما يحويه الباب </w:t>
      </w:r>
      <w:r w:rsidR="00A74B37">
        <w:rPr>
          <w:rFonts w:hint="cs"/>
          <w:sz w:val="28"/>
          <w:szCs w:val="28"/>
          <w:rtl/>
        </w:rPr>
        <w:t>، وذلك تحت كتاب من الكتب ( العنوان ألأكبر )</w:t>
      </w:r>
    </w:p>
    <w:p w:rsidR="00E07D8E" w:rsidRDefault="00E07D8E" w:rsidP="006B5882">
      <w:pPr>
        <w:pStyle w:val="ListParagraph"/>
        <w:spacing w:line="360" w:lineRule="auto"/>
        <w:ind w:left="-360"/>
        <w:jc w:val="right"/>
        <w:rPr>
          <w:sz w:val="28"/>
          <w:szCs w:val="28"/>
          <w:rtl/>
        </w:rPr>
      </w:pPr>
    </w:p>
    <w:p w:rsidR="00E07D8E" w:rsidRDefault="00E07D8E" w:rsidP="006B5882">
      <w:pPr>
        <w:pStyle w:val="ListParagraph"/>
        <w:spacing w:line="360" w:lineRule="auto"/>
        <w:ind w:left="-360"/>
        <w:jc w:val="right"/>
        <w:rPr>
          <w:sz w:val="28"/>
          <w:szCs w:val="28"/>
          <w:rtl/>
        </w:rPr>
      </w:pPr>
    </w:p>
    <w:p w:rsidR="00E07D8E" w:rsidRDefault="00E07D8E" w:rsidP="006B5882">
      <w:pPr>
        <w:pStyle w:val="ListParagraph"/>
        <w:spacing w:line="360" w:lineRule="auto"/>
        <w:ind w:left="-360"/>
        <w:jc w:val="right"/>
        <w:rPr>
          <w:sz w:val="28"/>
          <w:szCs w:val="28"/>
          <w:rtl/>
        </w:rPr>
      </w:pPr>
    </w:p>
    <w:p w:rsidR="00E07D8E" w:rsidRDefault="00E07D8E" w:rsidP="006B5882">
      <w:pPr>
        <w:pStyle w:val="ListParagraph"/>
        <w:spacing w:line="360" w:lineRule="auto"/>
        <w:ind w:left="-360"/>
        <w:jc w:val="right"/>
        <w:rPr>
          <w:sz w:val="28"/>
          <w:szCs w:val="28"/>
          <w:rtl/>
        </w:rPr>
      </w:pPr>
    </w:p>
    <w:p w:rsidR="00E07D8E" w:rsidRDefault="00E07D8E" w:rsidP="006B5882">
      <w:pPr>
        <w:pStyle w:val="ListParagraph"/>
        <w:spacing w:line="360" w:lineRule="auto"/>
        <w:ind w:left="-360"/>
        <w:jc w:val="right"/>
        <w:rPr>
          <w:sz w:val="28"/>
          <w:szCs w:val="28"/>
          <w:rtl/>
        </w:rPr>
      </w:pPr>
      <w:r w:rsidRPr="00E07D8E">
        <w:rPr>
          <w:rFonts w:hint="cs"/>
          <w:sz w:val="28"/>
          <w:szCs w:val="28"/>
          <w:highlight w:val="green"/>
          <w:rtl/>
        </w:rPr>
        <w:t>المراجع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القرآن الكريم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موطأ الإمام مالك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tl/>
        </w:rPr>
      </w:pPr>
      <w:r w:rsidRPr="00F53266">
        <w:rPr>
          <w:rFonts w:ascii="Traditional Arabic" w:hAnsi="Traditional Arabic" w:cs="Traditional Arabic"/>
          <w:sz w:val="28"/>
          <w:szCs w:val="28"/>
          <w:rtl/>
        </w:rPr>
        <w:t>مسند الإمام أحمد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صحيح البخاري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lastRenderedPageBreak/>
        <w:t>صحيح مسلم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تفسير الطبري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تفسير ابن كثير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أضواء البيان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فتح الباري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شرح صحيح مسلم للنووي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مصنف ابن أبي شيبة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مصنف عبد الرزاق.</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مجمع الزوائد للهيثمي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مستدرك الحاكم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فيض القدير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سنن النسائي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جامع الأصول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السلسلة الصحيحة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صحيح الجامع للألباني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صحيح الترغيب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 xml:space="preserve">صحيح الترمذي .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صحيح ابن ماجة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صحيح ابن خزيمة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مشكاة المصابيح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إرواء الغليل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صحيح موارد الظمآن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أحكام الجنائز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شرح السنة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العلل لابن أبي حاتم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تحفة الأحوذي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الكشف الحثيث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مجموع الفتاوى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منهاج السنة النبوية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الفرقان بين أولياء الرحمن وأولياء الشيطان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lastRenderedPageBreak/>
        <w:t>زاد المعاد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النهاية في الفتن والملاحم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سير أعلام النبلاء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تهذيب الكمال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تهذيب التهذيب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ميزان  الاعتدال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أسد الغابة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مصباح الزجاجة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تاريخ دمشق لابن عساكر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تاريخ بغداد للخطيب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حلية الأولياء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الفتن لنعيم بن حماد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البداية والنهاية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الفوائد المنتقاة للآلوسي .</w:t>
      </w:r>
    </w:p>
    <w:p w:rsidR="00E07D8E" w:rsidRPr="00F53266" w:rsidRDefault="00E07D8E" w:rsidP="00E07D8E">
      <w:pPr>
        <w:pStyle w:val="Heading1"/>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نزهة الألباب في الألقاب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تبيان تلبيس الجهمية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التذكرة للقرطبي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المعرفة والتاريخ للفسوي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الترغيب والترهيب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شرح الأماني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قصة المسيح الدجال للألباني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القيامة الصغرى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الفصل في الملل والنحل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الفَرْق بين الفِرَق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أشراط الساعة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العراق في أحاديث وآثار الفتن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المسيح المنتظر ونهاية العالم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عمر أمة الإسلام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كشف المنن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معجم البلدان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lastRenderedPageBreak/>
        <w:t>لسان العرب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القاموس المحيط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معجم مقاييس اللغة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مختار الصحاح .</w:t>
      </w:r>
    </w:p>
    <w:p w:rsidR="00E07D8E" w:rsidRPr="00F53266" w:rsidRDefault="00E07D8E" w:rsidP="00E07D8E">
      <w:pPr>
        <w:tabs>
          <w:tab w:val="num" w:pos="795"/>
          <w:tab w:val="right" w:pos="4513"/>
        </w:tabs>
        <w:ind w:left="795" w:hanging="435"/>
        <w:jc w:val="right"/>
        <w:rPr>
          <w:rFonts w:ascii="Traditional Arabic" w:hAnsi="Traditional Arabic" w:cs="Traditional Arabic"/>
          <w:sz w:val="28"/>
          <w:szCs w:val="28"/>
        </w:rPr>
      </w:pPr>
      <w:r w:rsidRPr="00F53266">
        <w:rPr>
          <w:rFonts w:ascii="Traditional Arabic" w:hAnsi="Traditional Arabic" w:cs="Traditional Arabic"/>
          <w:sz w:val="28"/>
          <w:szCs w:val="28"/>
          <w:rtl/>
        </w:rPr>
        <w:t>الفائق .</w:t>
      </w:r>
    </w:p>
    <w:p w:rsidR="00E07D8E" w:rsidRDefault="00E07D8E" w:rsidP="00E07D8E">
      <w:pPr>
        <w:pStyle w:val="ListParagraph"/>
        <w:spacing w:line="360" w:lineRule="auto"/>
        <w:ind w:left="-360"/>
        <w:jc w:val="right"/>
        <w:rPr>
          <w:sz w:val="28"/>
          <w:szCs w:val="28"/>
          <w:rtl/>
        </w:rPr>
      </w:pPr>
      <w:r w:rsidRPr="00F53266">
        <w:rPr>
          <w:rFonts w:ascii="Traditional Arabic" w:hAnsi="Traditional Arabic" w:cs="Traditional Arabic"/>
          <w:sz w:val="28"/>
          <w:szCs w:val="28"/>
          <w:rtl/>
        </w:rPr>
        <w:t>النهاية في غريب الحديث .</w:t>
      </w:r>
    </w:p>
    <w:p w:rsidR="00E07D8E" w:rsidRDefault="00E07D8E" w:rsidP="006B5882">
      <w:pPr>
        <w:pStyle w:val="ListParagraph"/>
        <w:spacing w:line="360" w:lineRule="auto"/>
        <w:ind w:left="-360"/>
        <w:jc w:val="right"/>
        <w:rPr>
          <w:sz w:val="28"/>
          <w:szCs w:val="28"/>
          <w:rtl/>
        </w:rPr>
      </w:pPr>
    </w:p>
    <w:p w:rsidR="00A57784" w:rsidRDefault="00A57784" w:rsidP="006B5882">
      <w:pPr>
        <w:pStyle w:val="ListParagraph"/>
        <w:spacing w:line="360" w:lineRule="auto"/>
        <w:ind w:left="-360"/>
        <w:jc w:val="right"/>
        <w:rPr>
          <w:sz w:val="28"/>
          <w:szCs w:val="28"/>
          <w:rtl/>
        </w:rPr>
      </w:pPr>
    </w:p>
    <w:p w:rsidR="00A57784" w:rsidRDefault="00A57784" w:rsidP="006B5882">
      <w:pPr>
        <w:pStyle w:val="ListParagraph"/>
        <w:spacing w:line="360" w:lineRule="auto"/>
        <w:ind w:left="-360"/>
        <w:jc w:val="right"/>
        <w:rPr>
          <w:sz w:val="28"/>
          <w:szCs w:val="28"/>
          <w:rtl/>
        </w:rPr>
      </w:pPr>
    </w:p>
    <w:p w:rsidR="00A57784" w:rsidRDefault="00A57784" w:rsidP="00A57784">
      <w:pPr>
        <w:pStyle w:val="ListParagraph"/>
        <w:spacing w:line="276" w:lineRule="auto"/>
        <w:ind w:left="-360"/>
        <w:jc w:val="right"/>
        <w:rPr>
          <w:sz w:val="28"/>
          <w:szCs w:val="28"/>
          <w:rtl/>
        </w:rPr>
      </w:pPr>
    </w:p>
    <w:p w:rsidR="00A57784" w:rsidRPr="00824F02" w:rsidRDefault="00A57784" w:rsidP="00A57784">
      <w:pPr>
        <w:pStyle w:val="FootnoteText"/>
        <w:spacing w:line="276" w:lineRule="auto"/>
        <w:ind w:left="284" w:hanging="284"/>
        <w:rPr>
          <w:rFonts w:cs="Traditional Arabic"/>
          <w:sz w:val="28"/>
          <w:szCs w:val="28"/>
          <w:rtl/>
        </w:rPr>
      </w:pPr>
      <w:r w:rsidRPr="00A57784">
        <w:rPr>
          <w:rFonts w:hint="cs"/>
          <w:b/>
          <w:bCs/>
          <w:color w:val="FF0000"/>
          <w:sz w:val="144"/>
          <w:szCs w:val="144"/>
          <w:u w:val="single"/>
          <w:rtl/>
        </w:rPr>
        <w:t>تراجم</w:t>
      </w:r>
      <w:r>
        <w:rPr>
          <w:rFonts w:hint="cs"/>
          <w:b/>
          <w:bCs/>
          <w:color w:val="FF0000"/>
          <w:sz w:val="144"/>
          <w:szCs w:val="144"/>
          <w:u w:val="single"/>
          <w:rtl/>
        </w:rPr>
        <w:t xml:space="preserve"> المحدثين </w:t>
      </w:r>
      <w:r w:rsidRPr="00A57784">
        <w:rPr>
          <w:rFonts w:hint="cs"/>
          <w:b/>
          <w:bCs/>
          <w:color w:val="FF0000"/>
          <w:sz w:val="144"/>
          <w:szCs w:val="144"/>
          <w:u w:val="single"/>
          <w:rtl/>
        </w:rPr>
        <w:t xml:space="preserve">والرواة </w:t>
      </w: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مؤرخ الإسلام شمس الدين محمد بن أحمد الذهبي: ولد سنة 673هـ من أسرة تركمانية الأصل تنتهي بالولاء إلى بني تميم، عاش بين أكناف عائلة علمية متدينة، مضى في طفولته إلى أحد المؤدبين، وحينما بلغ الثامنة عشرة من عمره توجهت عنايته إلى القراءات والحديث الشريف ومال إلى سماعه، فسمع ما لا يُحصى كثرة من الكتب والأجزاء ولقي كثيرًا من الشيوخ والشيخات. أما رحلاته في طلب العلم فقد كان والده يمنعه في بعض الأحيان، ويظهر أنَّ والده سمح له بالرحلة حينما بلغ العشرين. واعتنى بالنحو إضافة لسماعه عددًا كبيرًا من مجاميع الشعر واللغة والأدب، واتصل اتصالاً وثيقًا بثلاثة من شيوخ عصره وهم (شيخ الإسلام ابن تيمية) (وجمال الدين يوسف المزِّي) و (علم الدين البرزالي)، وقد أحبَّهم لاسيما ابن تيمية فقد أُعجب به وقال بعد أن مدحه مدحًا عظيمًا: (وهو أكبر من أن ينبه مثلي على نعوته فلو حلفت بين الركن والمقام لحَلقتُ أني ما أريت بعيني مثله، ولا والله, ما رأى هو مثلَ نفسه في العلم. أما نشاطات الذهبي العلمية فقد بدأ باختصار عدد من أمهات الكتب في شتى العلوم، ثم ألف كتابه (تاريخ الإسلام) وغيره قال تاج الدين السبكي: (وأما أستاذنا أبو عبد الله فبصر لا نظير له وكنز هو الملجأ إذا نزلت المعضلة، إمام الوجود حفظًا وذهبُ العصر معنىً ولفظًا، وشيخ الجرح والتعديل ورجل الرجال في كل سبيل) وتوفي سنة 748هـ (انظر مقدمة الجزء الأول من كتاب (سير أعلام النبلاء) كتابة د. بشار عواد معروف).</w:t>
      </w:r>
    </w:p>
    <w:p w:rsidR="00A57784" w:rsidRDefault="00A57784" w:rsidP="00A57784">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 xml:space="preserve">أبو أمامة الباهلي: صاحب رسول الله </w:t>
      </w:r>
      <w:r>
        <w:rPr>
          <w:rFonts w:cs="Traditional Arabic" w:hint="cs"/>
          <w:sz w:val="28"/>
          <w:szCs w:val="28"/>
        </w:rPr>
        <w:sym w:font="AGA Arabesque" w:char="F072"/>
      </w:r>
      <w:r>
        <w:rPr>
          <w:rFonts w:cs="Traditional Arabic" w:hint="cs"/>
          <w:sz w:val="28"/>
          <w:szCs w:val="28"/>
          <w:rtl/>
        </w:rPr>
        <w:t xml:space="preserve"> ونزيل حمص، روى علمًا كثيرًا، قال سليم بن عامر: سمعت أبا أمامة: سمعت النبي </w:t>
      </w:r>
      <w:r>
        <w:rPr>
          <w:rFonts w:cs="Traditional Arabic" w:hint="cs"/>
          <w:sz w:val="28"/>
          <w:szCs w:val="28"/>
        </w:rPr>
        <w:sym w:font="AGA Arabesque" w:char="F072"/>
      </w:r>
      <w:r>
        <w:rPr>
          <w:rFonts w:cs="Traditional Arabic" w:hint="cs"/>
          <w:sz w:val="28"/>
          <w:szCs w:val="28"/>
          <w:rtl/>
        </w:rPr>
        <w:t xml:space="preserve"> يقول في حجة الوداع: قلت لأبي أمامة: مثل من أنت يومئذ؟ قال: أنا يومئذ ابن ثلاثين سنة وروي أنه بايع تحت الشجرة، عن أبي أمامة قلت: يا رسول الله ادع الله لي بالشهادة فقال: </w:t>
      </w:r>
      <w:r w:rsidRPr="00F349D7">
        <w:rPr>
          <w:rFonts w:cs="Traditional Arabic" w:hint="eastAsia"/>
          <w:b/>
          <w:bCs/>
          <w:sz w:val="28"/>
          <w:szCs w:val="28"/>
          <w:rtl/>
        </w:rPr>
        <w:t>«اللهم سلَّمهم وغنِّمهم</w:t>
      </w:r>
      <w:r w:rsidRPr="00F349D7">
        <w:rPr>
          <w:rFonts w:cs="Traditional Arabic" w:hint="cs"/>
          <w:b/>
          <w:bCs/>
          <w:sz w:val="28"/>
          <w:szCs w:val="28"/>
          <w:rtl/>
        </w:rPr>
        <w:t>»</w:t>
      </w:r>
      <w:r>
        <w:rPr>
          <w:rFonts w:cs="Traditional Arabic" w:hint="cs"/>
          <w:sz w:val="28"/>
          <w:szCs w:val="28"/>
          <w:rtl/>
        </w:rPr>
        <w:t xml:space="preserve"> فعزونا فسلمنا وغنمنا، وقلت: يا رسول الله، مرني بعمل قال: </w:t>
      </w:r>
      <w:r w:rsidRPr="00F349D7">
        <w:rPr>
          <w:rFonts w:cs="Traditional Arabic" w:hint="eastAsia"/>
          <w:b/>
          <w:bCs/>
          <w:sz w:val="28"/>
          <w:szCs w:val="28"/>
          <w:rtl/>
        </w:rPr>
        <w:t>«عليك بالصَّوم فإنه لا مثل له</w:t>
      </w:r>
      <w:r w:rsidRPr="00F349D7">
        <w:rPr>
          <w:rFonts w:cs="Traditional Arabic" w:hint="cs"/>
          <w:b/>
          <w:bCs/>
          <w:sz w:val="28"/>
          <w:szCs w:val="28"/>
          <w:rtl/>
        </w:rPr>
        <w:t>»</w:t>
      </w:r>
      <w:r>
        <w:rPr>
          <w:rFonts w:cs="Traditional Arabic" w:hint="cs"/>
          <w:sz w:val="28"/>
          <w:szCs w:val="28"/>
          <w:rtl/>
        </w:rPr>
        <w:t xml:space="preserve"> فكان أبو أمامة وامرأته وخادمه لا يُلفَون إلا صُيَّامًا. عن سليم بن عامر قال: كنا نجلس إلى أبي أمامة فيحدَّثنا حديثًا كثيرًا عن رسول الله </w:t>
      </w:r>
      <w:r>
        <w:rPr>
          <w:rFonts w:cs="Traditional Arabic" w:hint="cs"/>
          <w:sz w:val="28"/>
          <w:szCs w:val="28"/>
        </w:rPr>
        <w:sym w:font="AGA Arabesque" w:char="F072"/>
      </w:r>
      <w:r>
        <w:rPr>
          <w:rFonts w:cs="Traditional Arabic" w:hint="cs"/>
          <w:sz w:val="28"/>
          <w:szCs w:val="28"/>
          <w:rtl/>
        </w:rPr>
        <w:t xml:space="preserve"> ثم يقول: اعقلوا وبلِّغوا عنا ما تسمعون. توفي أبو أمامة سنة ست وثمانين. [السير للذهبي (3/359-363)].</w:t>
      </w:r>
    </w:p>
    <w:p w:rsidR="00DB1745" w:rsidRDefault="00DB1745" w:rsidP="00A57784">
      <w:pPr>
        <w:pStyle w:val="FootnoteText"/>
        <w:spacing w:line="360" w:lineRule="exact"/>
        <w:ind w:left="284" w:hanging="284"/>
        <w:jc w:val="both"/>
        <w:rPr>
          <w:rFonts w:cs="Traditional Arabic"/>
          <w:sz w:val="28"/>
          <w:szCs w:val="28"/>
          <w:rtl/>
        </w:rPr>
      </w:pPr>
    </w:p>
    <w:p w:rsidR="00DB1745" w:rsidRPr="00824F02" w:rsidRDefault="00DB1745" w:rsidP="00DB1745">
      <w:pPr>
        <w:pStyle w:val="FootnoteText"/>
        <w:spacing w:line="360" w:lineRule="exact"/>
        <w:ind w:left="284" w:hanging="284"/>
        <w:jc w:val="both"/>
        <w:rPr>
          <w:rFonts w:cs="Traditional Arabic"/>
          <w:sz w:val="28"/>
          <w:szCs w:val="28"/>
          <w:rtl/>
        </w:rPr>
      </w:pPr>
      <w:r w:rsidRPr="0066576E">
        <w:rPr>
          <w:rFonts w:cs="Traditional Arabic"/>
          <w:sz w:val="22"/>
          <w:szCs w:val="22"/>
        </w:rPr>
        <w:lastRenderedPageBreak/>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الإمام العلامة الحافظ المفسر: جمال الدين أبو الفرج عبد الرحمن بن علي بن محمد القرشي البغدادي الحنبلي الواعظ صاحب التصانيف، ولد سنة تسع أو عشر وخمس مائة، وكان رأسًا في التذكير بلا مدافعة، يقول النظم الرائق والنثر الفائق بديهًا ويسهبُ ويعجب ويطرب ويطنب، لم يأت قبله ولا بعده مثله فهو حامل لواء الوعظ والقيَّم بفنونه مع الشَّكل الحسن والصوت الطيب والوقع في النفوس وحُسْن السيرة، وكان بحرًا في التفسير علامة في السير والتاريخ موصوفا بحسن الحديث ومعرفة فنونه، فقيهًا عليمًا بالإجماع والاختلاف، جيد المشاركة في الطب، ذا تفنن وفهم وذكاء وحفظ واستحضار وانكباب على الجمع والتصنيف مع التصون والتجميل وحسن الشارة ورشاقة العبارة ولطف الشمائل والأوصاف الحميدة والحرمة الوافرة عند الخاصِّ والعامِّ، ما عرفتُ أحدًا صنَّف ما صنف، وكان ذا حظِّ عظيم وصيت بعيد في الوعظ، يحضر مجالسه الملوك والوزراء وبعضُ الخلفاء والأئمة والكبراء لا يكادُ المجلس يَنْقُصُ عن ألوف كثيرة توفِّي أبوه وله ثلاثة أعوام فربته عمته ومن غرر ألفاظه (عقاربُ المنايا تلسع، وخَدَران جسم الآمال يمنع، وماء الحياة في إناء العمر يرشح) وسأله آخر: أيُّهما أفضل أُسبِّح أو أستغفر؟ قال: الثوب الوسخ أحوجُ إلى الصابون من البخور، توفِّي ليلة الجمعة الثالث عشر من رمضان سنة سبع وتسعين وخمس مائة [السير للذهبي (21/365-384)].</w:t>
      </w:r>
    </w:p>
    <w:p w:rsidR="00DB1745" w:rsidRPr="003869DD" w:rsidRDefault="00DB1745" w:rsidP="00DB1745">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 xml:space="preserve">عائشة أم المؤمنين: بنت الصديق أبي بكر القرشية، كانت امرأةً بيضاء جميلة ومن ثم يقال لها الحميراء، وما تزوَّج النبي </w:t>
      </w:r>
      <w:r>
        <w:rPr>
          <w:rFonts w:cs="Traditional Arabic" w:hint="cs"/>
          <w:sz w:val="28"/>
          <w:szCs w:val="28"/>
        </w:rPr>
        <w:sym w:font="AGA Arabesque" w:char="F072"/>
      </w:r>
      <w:r>
        <w:rPr>
          <w:rFonts w:cs="Traditional Arabic" w:hint="cs"/>
          <w:sz w:val="28"/>
          <w:szCs w:val="28"/>
          <w:rtl/>
        </w:rPr>
        <w:t xml:space="preserve"> بكر سواها وأحبها حبًا شديدًا، كان يتظاهر به بحيث إنَّ عمرا بن العاص وهو ممن أسلم سنة ثمان من الهجرة سأل </w:t>
      </w:r>
      <w:proofErr w:type="gramStart"/>
      <w:r>
        <w:rPr>
          <w:rFonts w:cs="Traditional Arabic" w:hint="cs"/>
          <w:sz w:val="28"/>
          <w:szCs w:val="28"/>
          <w:rtl/>
        </w:rPr>
        <w:t xml:space="preserve">النبي </w:t>
      </w:r>
      <w:proofErr w:type="gramEnd"/>
      <w:r>
        <w:rPr>
          <w:rFonts w:cs="Traditional Arabic" w:hint="cs"/>
          <w:sz w:val="28"/>
          <w:szCs w:val="28"/>
        </w:rPr>
        <w:sym w:font="AGA Arabesque" w:char="F072"/>
      </w:r>
      <w:r>
        <w:rPr>
          <w:rFonts w:cs="Traditional Arabic" w:hint="cs"/>
          <w:sz w:val="28"/>
          <w:szCs w:val="28"/>
          <w:rtl/>
        </w:rPr>
        <w:t xml:space="preserve">: أيُّ الناس أحبُّ إليك يا رسول الله؟ قال: </w:t>
      </w:r>
      <w:r w:rsidRPr="00FA194B">
        <w:rPr>
          <w:rFonts w:cs="Traditional Arabic" w:hint="eastAsia"/>
          <w:b/>
          <w:bCs/>
          <w:sz w:val="28"/>
          <w:szCs w:val="28"/>
          <w:rtl/>
        </w:rPr>
        <w:t>«عائشة</w:t>
      </w:r>
      <w:r w:rsidRPr="00FA194B">
        <w:rPr>
          <w:rFonts w:cs="Traditional Arabic" w:hint="cs"/>
          <w:b/>
          <w:bCs/>
          <w:sz w:val="28"/>
          <w:szCs w:val="28"/>
          <w:rtl/>
        </w:rPr>
        <w:t>»</w:t>
      </w:r>
      <w:r>
        <w:rPr>
          <w:rFonts w:cs="Traditional Arabic" w:hint="cs"/>
          <w:sz w:val="28"/>
          <w:szCs w:val="28"/>
          <w:rtl/>
        </w:rPr>
        <w:t xml:space="preserve"> قال فمن الرجال؟ قال: </w:t>
      </w:r>
      <w:r w:rsidRPr="00FA194B">
        <w:rPr>
          <w:rFonts w:cs="Traditional Arabic" w:hint="eastAsia"/>
          <w:b/>
          <w:bCs/>
          <w:sz w:val="28"/>
          <w:szCs w:val="28"/>
          <w:rtl/>
        </w:rPr>
        <w:t>«أبوها</w:t>
      </w:r>
      <w:r w:rsidRPr="00FA194B">
        <w:rPr>
          <w:rFonts w:cs="Traditional Arabic" w:hint="cs"/>
          <w:b/>
          <w:bCs/>
          <w:sz w:val="28"/>
          <w:szCs w:val="28"/>
          <w:rtl/>
        </w:rPr>
        <w:t>»</w:t>
      </w:r>
      <w:r>
        <w:rPr>
          <w:rFonts w:cs="Traditional Arabic" w:hint="cs"/>
          <w:sz w:val="28"/>
          <w:szCs w:val="28"/>
          <w:rtl/>
        </w:rPr>
        <w:t xml:space="preserve"> عن أنس </w:t>
      </w:r>
      <w:r>
        <w:rPr>
          <w:rFonts w:cs="Traditional Arabic" w:hint="cs"/>
          <w:sz w:val="28"/>
          <w:szCs w:val="28"/>
        </w:rPr>
        <w:sym w:font="AGA Arabesque" w:char="F074"/>
      </w:r>
      <w:r>
        <w:rPr>
          <w:rFonts w:cs="Traditional Arabic" w:hint="cs"/>
          <w:sz w:val="28"/>
          <w:szCs w:val="28"/>
          <w:rtl/>
        </w:rPr>
        <w:t xml:space="preserve"> قال: قال رسول الله </w:t>
      </w:r>
      <w:r>
        <w:rPr>
          <w:rFonts w:cs="Traditional Arabic" w:hint="cs"/>
          <w:sz w:val="28"/>
          <w:szCs w:val="28"/>
        </w:rPr>
        <w:sym w:font="AGA Arabesque" w:char="F072"/>
      </w:r>
      <w:r>
        <w:rPr>
          <w:rFonts w:cs="Traditional Arabic" w:hint="cs"/>
          <w:sz w:val="28"/>
          <w:szCs w:val="28"/>
          <w:rtl/>
        </w:rPr>
        <w:t xml:space="preserve">: </w:t>
      </w:r>
      <w:r w:rsidRPr="00FA194B">
        <w:rPr>
          <w:rFonts w:cs="Traditional Arabic" w:hint="eastAsia"/>
          <w:b/>
          <w:bCs/>
          <w:sz w:val="28"/>
          <w:szCs w:val="28"/>
          <w:rtl/>
        </w:rPr>
        <w:t>«ف</w:t>
      </w:r>
      <w:r w:rsidRPr="00FA194B">
        <w:rPr>
          <w:rFonts w:cs="Traditional Arabic" w:hint="cs"/>
          <w:b/>
          <w:bCs/>
          <w:sz w:val="28"/>
          <w:szCs w:val="28"/>
          <w:rtl/>
        </w:rPr>
        <w:t>ضلُ عائشة على النساء، كفضل الثَّريد على سائر الطعام</w:t>
      </w:r>
      <w:r w:rsidRPr="00FA194B">
        <w:rPr>
          <w:rFonts w:cs="Traditional Arabic" w:hint="eastAsia"/>
          <w:b/>
          <w:bCs/>
          <w:sz w:val="28"/>
          <w:szCs w:val="28"/>
          <w:rtl/>
        </w:rPr>
        <w:t>»</w:t>
      </w:r>
      <w:r>
        <w:rPr>
          <w:rFonts w:cs="Traditional Arabic" w:hint="eastAsia"/>
          <w:sz w:val="28"/>
          <w:szCs w:val="28"/>
          <w:rtl/>
        </w:rPr>
        <w:t xml:space="preserve">، وعن أبي موسى </w:t>
      </w:r>
      <w:r>
        <w:rPr>
          <w:rFonts w:cs="Traditional Arabic" w:hint="eastAsia"/>
          <w:sz w:val="28"/>
          <w:szCs w:val="28"/>
        </w:rPr>
        <w:sym w:font="AGA Arabesque" w:char="F074"/>
      </w:r>
      <w:r>
        <w:rPr>
          <w:rFonts w:cs="Traditional Arabic" w:hint="cs"/>
          <w:sz w:val="28"/>
          <w:szCs w:val="28"/>
          <w:rtl/>
        </w:rPr>
        <w:t xml:space="preserve"> قال: ما أشكل علينا أصحابَ محمد </w:t>
      </w:r>
      <w:r>
        <w:rPr>
          <w:rFonts w:cs="Traditional Arabic" w:hint="cs"/>
          <w:sz w:val="28"/>
          <w:szCs w:val="28"/>
        </w:rPr>
        <w:sym w:font="AGA Arabesque" w:char="F072"/>
      </w:r>
      <w:r>
        <w:rPr>
          <w:rFonts w:cs="Traditional Arabic" w:hint="cs"/>
          <w:sz w:val="28"/>
          <w:szCs w:val="28"/>
          <w:rtl/>
        </w:rPr>
        <w:t xml:space="preserve"> حديثٌ قط فسألنا عائشة إلا وجدنا عندها منه علمًا. توفيت سنة سبع وخمسين، ودفنت بالبقيع رضي الله تعالى عنها [السير للذهبي 2/135 </w:t>
      </w:r>
      <w:r>
        <w:rPr>
          <w:rFonts w:cs="Traditional Arabic"/>
          <w:sz w:val="28"/>
          <w:szCs w:val="28"/>
          <w:rtl/>
        </w:rPr>
        <w:t>–</w:t>
      </w:r>
      <w:r>
        <w:rPr>
          <w:rFonts w:cs="Traditional Arabic" w:hint="cs"/>
          <w:sz w:val="28"/>
          <w:szCs w:val="28"/>
          <w:rtl/>
        </w:rPr>
        <w:t xml:space="preserve"> 201].</w:t>
      </w:r>
    </w:p>
    <w:p w:rsidR="00DB1745" w:rsidRPr="00824F02" w:rsidRDefault="00DB1745" w:rsidP="00DB1745">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 xml:space="preserve"> البر والصلة لابن الجوزي، ص199-200.</w:t>
      </w:r>
    </w:p>
    <w:p w:rsidR="00DB1745" w:rsidRPr="00824F02" w:rsidRDefault="00DB1745" w:rsidP="00DB1745">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علي بن الحسين بن شقيق العبدي: مولاهم المروزي شيخ خراسان، ولد سنة سبع وثلاثين ومائة. وكان من كبار الأئمة بخراسان، قال العباس بن مصعب: كان ابن شقيق جامعًا وكان في الزمان الأول يعد من أحفظهم لكتب ابن المبارك، وقد شارك ابن المبارك في كثير من شيوخه. توفي سنة خمس عشرة ومائتين. [السير للذهبي (10/349-352)].</w:t>
      </w:r>
    </w:p>
    <w:p w:rsidR="00DB1745" w:rsidRDefault="00DB1745" w:rsidP="00DB1745">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عبد الله بن المبارك: الإمام عالم زمانه، وأمير الأتقياء في وقته، الحنظليُّ مولاهم التركي ثم المروزي الحافظ الغازي، أحد الأعلام، مولده في سنة ثماني عشرة ومائة. قال يحيى بن آدم: كنت إذا طلبتُ دقيق المسائل فلم أجحده في كتب ابن المبارك أيست منه. وقال أبي: أخبرني خادمه أنه عمل آخر سفرة سافرها دعوةً فقدَّم إلى الناس خمسةً وعشرين خوانًا من فالوذج، وكان ينفق على الفقراء في كل سنة مائة ألف درهم قال الحسن بن عيسى بن ماسرجس مولى ابن المبارك: اجتمع جماعة مثل: الفضل موسى ومخلد بن الحسين فقالوا: تعالوا نعدّ خصال ابن المبارك من أبواب الخير فقالوا: العلم والفقه والأدب والنحو واللُّغة والزهد والفصاحة والشعر وقيام الليل والعبادة والحج والغزو والشجاعة والفروسية والقوة وترك الكلام فيما لا يعنيه والإنصاف وقلة الخلاف على أصحابه، مات سنة إحدى وثمانين ومائة. [السير للذهبي (8/378-421)].</w:t>
      </w:r>
    </w:p>
    <w:p w:rsidR="008C3B61" w:rsidRDefault="008C3B61" w:rsidP="00DB1745">
      <w:pPr>
        <w:pStyle w:val="FootnoteText"/>
        <w:spacing w:line="360" w:lineRule="exact"/>
        <w:ind w:left="284" w:hanging="284"/>
        <w:jc w:val="both"/>
        <w:rPr>
          <w:rFonts w:cs="Traditional Arabic"/>
          <w:sz w:val="28"/>
          <w:szCs w:val="28"/>
          <w:rtl/>
        </w:rPr>
      </w:pPr>
    </w:p>
    <w:p w:rsidR="008C3B61" w:rsidRPr="00824F02" w:rsidRDefault="008C3B61" w:rsidP="008C3B61">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منصور بن عمار بن كثير السُّلمي الخراساني: الواعظ البليغ، كان عديمة النظير في الموعظة والتذكير، وعظ بالعراق والشام ومصر، وبعد صيته وتزاحم عليه الخلق، وكان ينطوي على زهد وتألُّه وخشية ولوعظه وقع في النفوس، وذكر ابن يونس في تاريخه أن الليث بن سعد حضر وعظه فأعجبه ونفذ إليه بألف دينار. وقيل: أقطعه خمسة عشر فدانًا وأن ابن لهيعة أقطعه خمسة فدادين. لم أجد وفاة لمنصور، (والكلام للذهبي) وكأنها في حدود المائتين. السير للذهبي (9/93-98).</w:t>
      </w:r>
    </w:p>
    <w:p w:rsidR="008C3B61" w:rsidRPr="00824F02" w:rsidRDefault="008C3B61" w:rsidP="008C3B61">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الليث بن سعد بن عبد الرحمن الفهمي: ولد سنة أربع وتسعين وكان رحمه الله فقيه مصر ومحتشمها ورئيسها ومن يفتخر بوجوده الإقليم، بحيث إنَّ متولي مصر وقاضيها وناظرها من تحت أوامره ويرجعون إلى رأيه ومشورته، ولقد أراده المنصور على أن ينوب له على الإقليم فاستعفى من ذلك، عن سعيد بن أبي مريم سمعت ليث بن سعد يقول: بلغت الثمانين وما نازعت صاحب هوى قط. أعطى ابن لهيعة ألف دينار وأعطى مالكًا ألف دينار وأعطى منصور بن عمار الواعظ ألف دينار وجارية تسوى ثلاث مائة دينار. عن شعيب بن الليث قال: خرجت حاجًا مع أبي فقدم المدينة فبعث إليه مالك بن أنس بطبق رطَب، قال: فجعل على الطبق ألف دينار وردَّه إليه. مات سنة خمس وسبعين ومائة. [السير للذهبي (8/136-163)].</w:t>
      </w:r>
    </w:p>
    <w:p w:rsidR="008C3B61" w:rsidRDefault="008C3B61" w:rsidP="008C3B61">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 xml:space="preserve">عبد الله بن لهيعة بن عقبة الحضرمي: القاضي الإمام العلامة محدِّث ديار مصر مع الليث، ولد سنة خمس أو ست وتسعين وطلب العلم في صباه ولقي الكبار بمصر والحرمين، وكان من بحور العلم قال الثوري: حججت حججًا لألقى ابن لهيعة، ولا ريب أن ابن لهيعة كان عالم الديار المصرية هو والليث </w:t>
      </w:r>
      <w:r>
        <w:rPr>
          <w:rFonts w:cs="Traditional Arabic" w:hint="cs"/>
          <w:sz w:val="28"/>
          <w:szCs w:val="28"/>
          <w:rtl/>
        </w:rPr>
        <w:lastRenderedPageBreak/>
        <w:t>معًا</w:t>
      </w:r>
      <w:proofErr w:type="gramStart"/>
      <w:r>
        <w:rPr>
          <w:rFonts w:cs="Traditional Arabic" w:hint="cs"/>
          <w:sz w:val="28"/>
          <w:szCs w:val="28"/>
          <w:rtl/>
        </w:rPr>
        <w:t>..</w:t>
      </w:r>
      <w:proofErr w:type="gramEnd"/>
      <w:r>
        <w:rPr>
          <w:rFonts w:cs="Traditional Arabic" w:hint="cs"/>
          <w:sz w:val="28"/>
          <w:szCs w:val="28"/>
          <w:rtl/>
        </w:rPr>
        <w:t xml:space="preserve"> ولكنَّ ابن لهيعة تهاون بالإتقان وروى مناكير فانحطَّ عن رتبة الاحتجاج عندهم توفي سنة أربع وسبعين مائة، وكان من أوعية العلم ومن رؤساء أهل مصر وحتشميهم. [السير للذهبي (8/11-31)].</w:t>
      </w:r>
    </w:p>
    <w:p w:rsidR="00147102" w:rsidRDefault="00147102" w:rsidP="008C3B61">
      <w:pPr>
        <w:pStyle w:val="FootnoteText"/>
        <w:spacing w:line="360" w:lineRule="exact"/>
        <w:ind w:left="284" w:hanging="284"/>
        <w:jc w:val="both"/>
        <w:rPr>
          <w:rFonts w:cs="Traditional Arabic"/>
          <w:sz w:val="28"/>
          <w:szCs w:val="28"/>
          <w:rtl/>
        </w:rPr>
      </w:pPr>
    </w:p>
    <w:p w:rsidR="00147102" w:rsidRDefault="00147102" w:rsidP="008C3B61">
      <w:pPr>
        <w:pStyle w:val="FootnoteText"/>
        <w:spacing w:line="360" w:lineRule="exact"/>
        <w:ind w:left="284" w:hanging="284"/>
        <w:jc w:val="both"/>
        <w:rPr>
          <w:rFonts w:cs="Traditional Arabic"/>
          <w:sz w:val="28"/>
          <w:szCs w:val="28"/>
          <w:rtl/>
        </w:rPr>
      </w:pPr>
    </w:p>
    <w:p w:rsidR="00147102" w:rsidRDefault="00147102" w:rsidP="008C3B61">
      <w:pPr>
        <w:pStyle w:val="FootnoteText"/>
        <w:spacing w:line="360" w:lineRule="exact"/>
        <w:ind w:left="284" w:hanging="284"/>
        <w:jc w:val="both"/>
        <w:rPr>
          <w:rFonts w:cs="Traditional Arabic"/>
          <w:sz w:val="28"/>
          <w:szCs w:val="28"/>
          <w:rtl/>
        </w:rPr>
      </w:pPr>
    </w:p>
    <w:p w:rsidR="00147102" w:rsidRPr="00824F02" w:rsidRDefault="00147102" w:rsidP="00147102">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أبو بكر أحمد بن الحسين الخسروجردي الخراساني: الحافظ العلامة الثبت الفقيه شيخ الإسلام البيهقي وبيهق: عدة قرى من أعمال نيسابور على يومين منها، ولد في سنة أربع وثمانين وثلاث مائة وبورك له في علمه، وصنف التصانيف النافعة وانقطع بقربته مقبلاً على الجمع والتأليف قال الحافظ عبد الغفار بن إسماعيل في (تاريخه): كان البيهقي على سيرة العلماء قانعًا باليسير متجملاً في زهده وورعه قلت (والكلام للذهبي) تصانيف البيهقي عظيمة القدر غزيرة الفوائد قل من جوَّد تواليفه مثل: الإمام أبي بكر، فينبغي للعالم أن يعتني بهؤلاء سيما (سننه الكبير) توفي سنة ثمان وخمسين وأربع مائة [السير للذهبي 18/163-170].</w:t>
      </w:r>
    </w:p>
    <w:p w:rsidR="00147102" w:rsidRPr="00824F02" w:rsidRDefault="00147102" w:rsidP="00147102">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محمد بن عبد الله: الإمام الحافظ الناقد العلامة شيخ المحدثين الضبي النيسابوري صاحب التصانيف، مولده سنة إحدى وعشرين وثلاث مائة صنَّف وخرَّج وجرح وعدل وصحح وعلل وكان من بحور العلم قال: عبد الغفار بن إسماعيل: هذه جملة يسيرة هي غيض من فيض سيره وأحواله، ومن تأمل كلامه في تصانيفه وتصرُّفه في أماليه ونظره في طرق الحديث أذعن بفضله واعترف له بالمزية على من تقدمه وإتعابه من بعده وتعجييزه اللاحقين عن بلوغ شأنه وعاش حميدًا ولم يخلف في وقته مثله مضى إلى رحمة الله سنة خمس وأربع مائة. [السير للذهبي (17/162-177)].</w:t>
      </w:r>
    </w:p>
    <w:p w:rsidR="00147102" w:rsidRDefault="00147102" w:rsidP="00147102">
      <w:pPr>
        <w:pStyle w:val="FootnoteText"/>
        <w:spacing w:line="360" w:lineRule="exact"/>
        <w:ind w:left="284" w:hanging="284"/>
        <w:jc w:val="both"/>
        <w:rPr>
          <w:rFonts w:cs="Traditional Arabic"/>
          <w:sz w:val="28"/>
          <w:szCs w:val="28"/>
          <w:rtl/>
        </w:rPr>
      </w:pPr>
      <w:r w:rsidRPr="0066576E">
        <w:rPr>
          <w:rFonts w:cs="Traditional Arabic"/>
          <w:sz w:val="22"/>
          <w:szCs w:val="22"/>
        </w:rPr>
        <w:t>(</w:t>
      </w:r>
      <w:r w:rsidRPr="0066576E">
        <w:rPr>
          <w:sz w:val="22"/>
          <w:szCs w:val="22"/>
        </w:rPr>
        <w:footnoteRef/>
      </w:r>
      <w:r w:rsidRPr="0066576E">
        <w:rPr>
          <w:rFonts w:cs="Traditional Arabic"/>
          <w:sz w:val="22"/>
          <w:szCs w:val="22"/>
        </w:rPr>
        <w:t>)</w:t>
      </w:r>
      <w:r w:rsidRPr="0066576E">
        <w:rPr>
          <w:rFonts w:cs="Traditional Arabic"/>
          <w:rtl/>
        </w:rPr>
        <w:t xml:space="preserve"> </w:t>
      </w:r>
      <w:r>
        <w:rPr>
          <w:rFonts w:cs="Traditional Arabic" w:hint="cs"/>
          <w:sz w:val="28"/>
          <w:szCs w:val="28"/>
          <w:rtl/>
        </w:rPr>
        <w:t>إسماعيل بن عبد الرحمن بن أحمد النيسابوري الصابوني: الإمام العلامة، ولد سنة ثلاث وسبعين وثلاث مائة، ,أول مجلس عقده للوعظ إثر قتل أبيه في سنة ثنتين وثمانين وهو ابن تسع سنين، قال عبد الغفار أبو عثمان المفسر المحدث الواعظ أوحد وقته في طريقته، وَعَظَ المسلمين سبعين سنة وخطب وصلى في الجامع نحوًا من عشرين سنة وكان حافظًا كثير السماع والتصانيف، حريصًا على العلم ورُزق العزَّ والجاه في الدين والدنيا، وكان جمالاً للبلد مقبولاً عند الموافق والمخالف مجمع على أنه عديم النظير وسيف السنة وقامع البدعة، قلت (والكلام للذهبي) ولقد كان من أئمة الأثر، له مصنفات في السنة واعتقاد السلف ما رآه منصفٌ إلا واعترف له. توفي سنة تسع وأربعين وأربع مائة [السير للذهبي (18/40-44)].</w:t>
      </w:r>
    </w:p>
    <w:p w:rsidR="00147102" w:rsidRDefault="00147102" w:rsidP="00147102">
      <w:pPr>
        <w:pStyle w:val="FootnoteText"/>
        <w:spacing w:line="360" w:lineRule="exact"/>
        <w:ind w:left="284" w:hanging="284"/>
        <w:jc w:val="both"/>
        <w:rPr>
          <w:rFonts w:cs="Traditional Arabic"/>
          <w:sz w:val="28"/>
          <w:szCs w:val="28"/>
          <w:rtl/>
        </w:rPr>
      </w:pPr>
    </w:p>
    <w:p w:rsidR="00147102" w:rsidRDefault="00147102" w:rsidP="00147102">
      <w:pPr>
        <w:pStyle w:val="FootnoteText"/>
        <w:spacing w:line="360" w:lineRule="exact"/>
        <w:ind w:left="284" w:hanging="284"/>
        <w:jc w:val="both"/>
        <w:rPr>
          <w:rFonts w:cs="Traditional Arabic"/>
          <w:sz w:val="28"/>
          <w:szCs w:val="28"/>
          <w:rtl/>
        </w:rPr>
      </w:pPr>
    </w:p>
    <w:p w:rsidR="00147102" w:rsidRPr="00C67372" w:rsidRDefault="00147102" w:rsidP="00147102">
      <w:pPr>
        <w:pStyle w:val="FootnoteText"/>
        <w:spacing w:line="360" w:lineRule="exact"/>
        <w:ind w:left="284" w:hanging="284"/>
        <w:jc w:val="both"/>
        <w:rPr>
          <w:rFonts w:cs="Traditional Arabic"/>
          <w:sz w:val="28"/>
          <w:szCs w:val="28"/>
          <w:rtl/>
        </w:rPr>
      </w:pPr>
      <w:r>
        <w:rPr>
          <w:rFonts w:cs="Traditional Arabic" w:hint="cs"/>
          <w:sz w:val="28"/>
          <w:szCs w:val="28"/>
          <w:rtl/>
        </w:rPr>
        <w:t>محمد بن وضاح بن يزيع المرواني: الإمام الحافظ محدث الأندلسي، مولى صاحب الأندلس عبد الرحمن بن معاوية الداخل. ولد سنة تسع وتسعين ومائة قال ابن الفرضي: كان عالمًا بالحديث بصيرًا بطرقه وعلله كثير الحكاية عن العباد ورعًا زاهدًا صبورًا على نشر العلم متعففًا نفع الله تعالى أهل الأندلس به، توفِّي سنة سبع وثمانين ومائتين. [السير للذهبي (13/445-446)].</w:t>
      </w:r>
    </w:p>
    <w:p w:rsidR="00A57784" w:rsidRDefault="00A57784" w:rsidP="00A57784">
      <w:pPr>
        <w:pStyle w:val="ListParagraph"/>
        <w:spacing w:line="360" w:lineRule="auto"/>
        <w:ind w:left="-360"/>
        <w:jc w:val="right"/>
        <w:rPr>
          <w:b/>
          <w:bCs/>
          <w:color w:val="FF0000"/>
          <w:sz w:val="144"/>
          <w:szCs w:val="144"/>
          <w:u w:val="single"/>
          <w:rtl/>
        </w:rPr>
      </w:pPr>
      <w:bookmarkStart w:id="0" w:name="_GoBack"/>
      <w:bookmarkEnd w:id="0"/>
    </w:p>
    <w:p w:rsidR="00457E5C" w:rsidRPr="00A57784" w:rsidRDefault="00457E5C" w:rsidP="00A57784">
      <w:pPr>
        <w:pStyle w:val="ListParagraph"/>
        <w:spacing w:line="360" w:lineRule="auto"/>
        <w:ind w:left="-360"/>
        <w:jc w:val="right"/>
        <w:rPr>
          <w:b/>
          <w:bCs/>
          <w:color w:val="FF0000"/>
          <w:sz w:val="144"/>
          <w:szCs w:val="144"/>
          <w:u w:val="single"/>
        </w:rPr>
      </w:pPr>
    </w:p>
    <w:sectPr w:rsidR="00457E5C" w:rsidRPr="00A57784" w:rsidSect="00A57784">
      <w:pgSz w:w="12240" w:h="15840"/>
      <w:pgMar w:top="1440" w:right="810" w:bottom="144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akkal Majalla">
    <w:panose1 w:val="02000000000000000000"/>
    <w:charset w:val="00"/>
    <w:family w:val="auto"/>
    <w:pitch w:val="variable"/>
    <w:sig w:usb0="80002007" w:usb1="80000000" w:usb2="00000008" w:usb3="00000000" w:csb0="000000D3" w:csb1="00000000"/>
  </w:font>
  <w:font w:name="Traditional Arabic">
    <w:panose1 w:val="02020603050405020304"/>
    <w:charset w:val="00"/>
    <w:family w:val="roman"/>
    <w:pitch w:val="variable"/>
    <w:sig w:usb0="00002003" w:usb1="80000000" w:usb2="00000008" w:usb3="00000000" w:csb0="00000041" w:csb1="00000000"/>
  </w:font>
  <w:font w:name="AGA Arabesque">
    <w:altName w:val="Symbol"/>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E7443D"/>
    <w:multiLevelType w:val="hybridMultilevel"/>
    <w:tmpl w:val="209EC5BA"/>
    <w:lvl w:ilvl="0" w:tplc="725CB0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6C1096"/>
    <w:rsid w:val="00137E62"/>
    <w:rsid w:val="00147102"/>
    <w:rsid w:val="0028707B"/>
    <w:rsid w:val="00451E72"/>
    <w:rsid w:val="00457E5C"/>
    <w:rsid w:val="0047626D"/>
    <w:rsid w:val="00566DEE"/>
    <w:rsid w:val="006B5882"/>
    <w:rsid w:val="006C1096"/>
    <w:rsid w:val="006F04F1"/>
    <w:rsid w:val="007825E5"/>
    <w:rsid w:val="008A6FCD"/>
    <w:rsid w:val="008C3B61"/>
    <w:rsid w:val="00A57784"/>
    <w:rsid w:val="00A645A8"/>
    <w:rsid w:val="00A74B37"/>
    <w:rsid w:val="00B047CD"/>
    <w:rsid w:val="00B408E7"/>
    <w:rsid w:val="00C70EEA"/>
    <w:rsid w:val="00CC2C42"/>
    <w:rsid w:val="00CD5371"/>
    <w:rsid w:val="00D94FEC"/>
    <w:rsid w:val="00DB1745"/>
    <w:rsid w:val="00E07D8E"/>
    <w:rsid w:val="00EB5C08"/>
    <w:rsid w:val="00F33CE1"/>
    <w:rsid w:val="00F348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6B6F2A1-9042-4C10-B435-B2F9C820F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07B"/>
    <w:rPr>
      <w:sz w:val="24"/>
      <w:szCs w:val="24"/>
    </w:rPr>
  </w:style>
  <w:style w:type="paragraph" w:styleId="Heading1">
    <w:name w:val="heading 1"/>
    <w:basedOn w:val="Normal"/>
    <w:link w:val="Heading1Char"/>
    <w:qFormat/>
    <w:rsid w:val="00E07D8E"/>
    <w:pPr>
      <w:bidi/>
      <w:jc w:val="lowKashida"/>
      <w:outlineLvl w:val="0"/>
    </w:pPr>
    <w:rPr>
      <w:b/>
      <w:bCs/>
      <w:kern w:val="36"/>
      <w:sz w:val="52"/>
      <w:szCs w:val="52"/>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096"/>
    <w:pPr>
      <w:ind w:left="720"/>
      <w:contextualSpacing/>
    </w:pPr>
  </w:style>
  <w:style w:type="character" w:customStyle="1" w:styleId="Heading1Char">
    <w:name w:val="Heading 1 Char"/>
    <w:basedOn w:val="DefaultParagraphFont"/>
    <w:link w:val="Heading1"/>
    <w:rsid w:val="00E07D8E"/>
    <w:rPr>
      <w:b/>
      <w:bCs/>
      <w:kern w:val="36"/>
      <w:sz w:val="52"/>
      <w:szCs w:val="52"/>
      <w:lang w:val="fr-FR" w:eastAsia="fr-FR"/>
    </w:rPr>
  </w:style>
  <w:style w:type="paragraph" w:customStyle="1" w:styleId="a">
    <w:name w:val="a"/>
    <w:basedOn w:val="Normal"/>
    <w:rsid w:val="00E07D8E"/>
    <w:pPr>
      <w:spacing w:before="100" w:beforeAutospacing="1" w:after="100" w:afterAutospacing="1"/>
    </w:pPr>
    <w:rPr>
      <w:rFonts w:hint="cs"/>
      <w:lang w:val="fr-FR" w:eastAsia="fr-FR"/>
    </w:rPr>
  </w:style>
  <w:style w:type="paragraph" w:styleId="FootnoteText">
    <w:name w:val="footnote text"/>
    <w:basedOn w:val="Normal"/>
    <w:link w:val="FootnoteTextChar"/>
    <w:rsid w:val="00A57784"/>
    <w:pPr>
      <w:bidi/>
    </w:pPr>
    <w:rPr>
      <w:sz w:val="20"/>
      <w:szCs w:val="20"/>
    </w:rPr>
  </w:style>
  <w:style w:type="character" w:customStyle="1" w:styleId="FootnoteTextChar">
    <w:name w:val="Footnote Text Char"/>
    <w:basedOn w:val="DefaultParagraphFont"/>
    <w:link w:val="FootnoteText"/>
    <w:uiPriority w:val="99"/>
    <w:rsid w:val="00A57784"/>
  </w:style>
  <w:style w:type="character" w:styleId="FootnoteReference">
    <w:name w:val="footnote reference"/>
    <w:basedOn w:val="DefaultParagraphFont"/>
    <w:rsid w:val="00DB17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747832">
      <w:bodyDiv w:val="1"/>
      <w:marLeft w:val="0"/>
      <w:marRight w:val="0"/>
      <w:marTop w:val="0"/>
      <w:marBottom w:val="0"/>
      <w:divBdr>
        <w:top w:val="none" w:sz="0" w:space="0" w:color="auto"/>
        <w:left w:val="none" w:sz="0" w:space="0" w:color="auto"/>
        <w:bottom w:val="none" w:sz="0" w:space="0" w:color="auto"/>
        <w:right w:val="none" w:sz="0" w:space="0" w:color="auto"/>
      </w:divBdr>
      <w:divsChild>
        <w:div w:id="1330446769">
          <w:marLeft w:val="0"/>
          <w:marRight w:val="0"/>
          <w:marTop w:val="0"/>
          <w:marBottom w:val="0"/>
          <w:divBdr>
            <w:top w:val="none" w:sz="0" w:space="0" w:color="auto"/>
            <w:left w:val="none" w:sz="0" w:space="0" w:color="auto"/>
            <w:bottom w:val="none" w:sz="0" w:space="0" w:color="auto"/>
            <w:right w:val="none" w:sz="0" w:space="0" w:color="auto"/>
          </w:divBdr>
        </w:div>
        <w:div w:id="1854999114">
          <w:marLeft w:val="0"/>
          <w:marRight w:val="0"/>
          <w:marTop w:val="0"/>
          <w:marBottom w:val="0"/>
          <w:divBdr>
            <w:top w:val="none" w:sz="0" w:space="0" w:color="auto"/>
            <w:left w:val="none" w:sz="0" w:space="0" w:color="auto"/>
            <w:bottom w:val="none" w:sz="0" w:space="0" w:color="auto"/>
            <w:right w:val="none" w:sz="0" w:space="0" w:color="auto"/>
          </w:divBdr>
        </w:div>
        <w:div w:id="1195922902">
          <w:marLeft w:val="0"/>
          <w:marRight w:val="0"/>
          <w:marTop w:val="0"/>
          <w:marBottom w:val="0"/>
          <w:divBdr>
            <w:top w:val="none" w:sz="0" w:space="0" w:color="auto"/>
            <w:left w:val="none" w:sz="0" w:space="0" w:color="auto"/>
            <w:bottom w:val="none" w:sz="0" w:space="0" w:color="auto"/>
            <w:right w:val="none" w:sz="0" w:space="0" w:color="auto"/>
          </w:divBdr>
        </w:div>
        <w:div w:id="179124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1552</Words>
  <Characters>8848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 Ma</cp:lastModifiedBy>
  <cp:revision>21</cp:revision>
  <dcterms:created xsi:type="dcterms:W3CDTF">2011-09-07T18:54:00Z</dcterms:created>
  <dcterms:modified xsi:type="dcterms:W3CDTF">2018-07-18T04:58:00Z</dcterms:modified>
</cp:coreProperties>
</file>