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моделировние простейшие модели боевых действий – модели Ланче-</w:t>
      </w:r>
      <w:r>
        <w:t xml:space="preserve"> </w:t>
      </w:r>
      <w:r>
        <w:t xml:space="preserve">стера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( ) x t и ()yt . В</w:t>
      </w:r>
      <w:r>
        <w:t xml:space="preserve"> </w:t>
      </w:r>
      <w:r>
        <w:t xml:space="preserve">начальный момент времени страна Х имеет армию численностью 30 030 человек, а</w:t>
      </w:r>
      <w:r>
        <w:t xml:space="preserve"> </w:t>
      </w:r>
      <w:r>
        <w:t xml:space="preserve">в распоряжении страны У армия численностью в 59 010 человек. Для упрощения</w:t>
      </w:r>
      <w:r>
        <w:t xml:space="preserve"> </w:t>
      </w:r>
      <w:r>
        <w:t xml:space="preserve">модели считаем, что коэффициенты , , , a b c h постоянны. Также считаем ()Pt и</w:t>
      </w:r>
      <w:r>
        <w:t xml:space="preserve"> </w:t>
      </w:r>
      <w:r>
        <w:t xml:space="preserve">()Qt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mr>
              </m:m>
            </m:e>
          </m:d>
        </m:oMath>
      </m:oMathPara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</w:t>
      </w:r>
      <w:r>
        <w:rPr>
          <w:bCs/>
          <w:b/>
        </w:rPr>
        <w:t xml:space="preserve">¿fig:001?</w:t>
      </w:r>
      <w:r>
        <w:t xml:space="preserve">). По какой именно гиперболе пойдет война, зависит от начальной точки.</w:t>
      </w:r>
    </w:p>
    <w:p>
      <w:pPr>
        <w:pStyle w:val="BodyText"/>
      </w:pPr>
      <w:bookmarkStart w:id="23" w:name="fig:001"/>
      <w:r>
        <w:drawing>
          <wp:inline>
            <wp:extent cx="5334000" cy="34931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BodyText"/>
      </w:pPr>
      <w:bookmarkStart w:id="25" w:name="fig:002"/>
      <w:r>
        <w:drawing>
          <wp:inline>
            <wp:extent cx="5334000" cy="34931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Из Рисунка fig. </w:t>
      </w:r>
      <w:r>
        <w:rPr>
          <w:bCs/>
          <w:b/>
        </w:rPr>
        <w:t xml:space="preserve">¿fig:002?</w:t>
      </w:r>
      <w:r>
        <w:t xml:space="preserve"> </w:t>
      </w:r>
      <w:r>
        <w:t xml:space="preserve">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from math import fabs</w:t>
      </w:r>
      <w:r>
        <w:br/>
      </w:r>
      <w:r>
        <w:br/>
      </w:r>
      <w:r>
        <w:rPr>
          <w:rStyle w:val="VerbatimChar"/>
        </w:rPr>
        <w:t xml:space="preserve">x0 = 30030</w:t>
      </w:r>
      <w:r>
        <w:br/>
      </w:r>
      <w:r>
        <w:rPr>
          <w:rStyle w:val="VerbatimChar"/>
        </w:rPr>
        <w:t xml:space="preserve">y0 = 59010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0.46</w:t>
      </w:r>
      <w:r>
        <w:br/>
      </w:r>
      <w:r>
        <w:rPr>
          <w:rStyle w:val="VerbatimChar"/>
        </w:rPr>
        <w:t xml:space="preserve">b = 0.58</w:t>
      </w:r>
      <w:r>
        <w:br/>
      </w:r>
      <w:r>
        <w:rPr>
          <w:rStyle w:val="VerbatimChar"/>
        </w:rPr>
        <w:t xml:space="preserve">c = 0.69</w:t>
      </w:r>
      <w:r>
        <w:br/>
      </w:r>
      <w:r>
        <w:rPr>
          <w:rStyle w:val="VerbatimChar"/>
        </w:rPr>
        <w:t xml:space="preserve">h = 0.23</w:t>
      </w:r>
      <w:r>
        <w:br/>
      </w:r>
      <w:r>
        <w:br/>
      </w:r>
      <w:r>
        <w:rPr>
          <w:rStyle w:val="VerbatimChar"/>
        </w:rPr>
        <w:t xml:space="preserve">a2 = 0.37</w:t>
      </w:r>
      <w:r>
        <w:br/>
      </w:r>
      <w:r>
        <w:rPr>
          <w:rStyle w:val="VerbatimChar"/>
        </w:rPr>
        <w:t xml:space="preserve">b2 = 0.71</w:t>
      </w:r>
      <w:r>
        <w:br/>
      </w:r>
      <w:r>
        <w:rPr>
          <w:rStyle w:val="VerbatimChar"/>
        </w:rPr>
        <w:t xml:space="preserve">c2 = 0.77</w:t>
      </w:r>
      <w:r>
        <w:br/>
      </w:r>
      <w:r>
        <w:rPr>
          <w:rStyle w:val="VerbatimChar"/>
        </w:rPr>
        <w:t xml:space="preserve">h2 = 0.2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p=math.sin(2*t)+1         # sin(2t) + 1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q=math.cos(t)+1           # cos(t) + 1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 = math.sin(2*t)+1  # sin(2t) + 1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 = math.cos(t)+2  # cos(t) + 2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fabs(P(t)), -c*y1 - h*y2 + fabs(Q(t))]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fabs(P2(t)), -c2*y1*y2 - h2*y2 + fabs(Q2(t))]</w:t>
      </w:r>
      <w:r>
        <w:br/>
      </w:r>
      <w:r>
        <w:br/>
      </w:r>
      <w:r>
        <w:rPr>
          <w:rStyle w:val="VerbatimChar"/>
        </w:rPr>
        <w:t xml:space="preserve">t = np.linspace(0,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 0]</w:t>
      </w:r>
      <w:r>
        <w:br/>
      </w:r>
      <w:r>
        <w:rPr>
          <w:rStyle w:val="VerbatimChar"/>
        </w:rPr>
        <w:t xml:space="preserve">y21 = w1[:, 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 0]</w:t>
      </w:r>
      <w:r>
        <w:br/>
      </w:r>
      <w:r>
        <w:rPr>
          <w:rStyle w:val="VerbatimChar"/>
        </w:rPr>
        <w:t xml:space="preserve">y22 = w1[:, 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27"/>
    <w:bookmarkStart w:id="32" w:name="результат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 работы</w:t>
      </w:r>
    </w:p>
    <w:p>
      <w:pPr>
        <w:pStyle w:val="FirstParagraph"/>
      </w:pPr>
      <w:bookmarkStart w:id="29" w:name="fig:003"/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1" w:name="fig:004"/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моделировать простейшие модели боевых действий – модели Ланче-</w:t>
      </w:r>
      <w:r>
        <w:t xml:space="preserve"> </w:t>
      </w:r>
      <w:r>
        <w:t xml:space="preserve">стера на язике python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Аминов Зулфикор Мирзокаримович</dc:creator>
  <dc:language>ru-RU</dc:language>
  <cp:keywords/>
  <dcterms:created xsi:type="dcterms:W3CDTF">2022-02-26T18:02:59Z</dcterms:created>
  <dcterms:modified xsi:type="dcterms:W3CDTF">2022-02-26T18:02:59Z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40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