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oto Sans Arabic" w:cs="Noto Sans Arabic" w:eastAsia="Noto Sans Arabic" w:hAnsi="Noto Sans Arab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Noto Sans Arabic" w:cs="Noto Sans Arabic" w:eastAsia="Noto Sans Arabic" w:hAnsi="Noto Sans Arab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Noto Sans Arabic" w:cs="Noto Sans Arabic" w:eastAsia="Noto Sans Arabic" w:hAnsi="Noto Sans Arab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Noto Sans Arabic" w:cs="Noto Sans Arabic" w:eastAsia="Noto Sans Arabic" w:hAnsi="Noto Sans Arab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Noto Sans Arabic" w:cs="Noto Sans Arabic" w:eastAsia="Noto Sans Arabic" w:hAnsi="Noto Sans Arabic"/>
          <w:sz w:val="48"/>
          <w:szCs w:val="48"/>
        </w:rPr>
      </w:pPr>
      <w:r w:rsidDel="00000000" w:rsidR="00000000" w:rsidRPr="00000000">
        <w:rPr>
          <w:rFonts w:ascii="Noto Sans Arabic" w:cs="Noto Sans Arabic" w:eastAsia="Noto Sans Arabic" w:hAnsi="Noto Sans Arabic"/>
          <w:sz w:val="48"/>
          <w:szCs w:val="48"/>
          <w:rtl w:val="1"/>
        </w:rPr>
        <w:t xml:space="preserve">سگمنتیشن</w:t>
      </w:r>
      <w:r w:rsidDel="00000000" w:rsidR="00000000" w:rsidRPr="00000000">
        <w:rPr>
          <w:rFonts w:ascii="Noto Sans Arabic" w:cs="Noto Sans Arabic" w:eastAsia="Noto Sans Arabic" w:hAnsi="Noto Sans Arabic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48"/>
          <w:szCs w:val="48"/>
          <w:rtl w:val="1"/>
        </w:rPr>
        <w:t xml:space="preserve">پولیپ</w:t>
      </w:r>
      <w:r w:rsidDel="00000000" w:rsidR="00000000" w:rsidRPr="00000000">
        <w:rPr>
          <w:rFonts w:ascii="Noto Sans Arabic" w:cs="Noto Sans Arabic" w:eastAsia="Noto Sans Arabic" w:hAnsi="Noto Sans Arabic"/>
          <w:sz w:val="48"/>
          <w:szCs w:val="4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48"/>
          <w:szCs w:val="4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48"/>
          <w:szCs w:val="48"/>
          <w:rtl w:val="1"/>
        </w:rPr>
        <w:t xml:space="preserve">گوارشی</w:t>
      </w:r>
      <w:r w:rsidDel="00000000" w:rsidR="00000000" w:rsidRPr="00000000">
        <w:rPr>
          <w:rFonts w:ascii="Noto Sans Arabic" w:cs="Noto Sans Arabic" w:eastAsia="Noto Sans Arabic" w:hAnsi="Noto Sans Arabic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48"/>
          <w:szCs w:val="48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48"/>
          <w:szCs w:val="48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48"/>
          <w:szCs w:val="48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48"/>
          <w:szCs w:val="48"/>
          <w:rtl w:val="1"/>
        </w:rPr>
        <w:t xml:space="preserve">معماری</w:t>
      </w:r>
      <w:r w:rsidDel="00000000" w:rsidR="00000000" w:rsidRPr="00000000">
        <w:rPr>
          <w:rFonts w:ascii="Noto Sans Arabic" w:cs="Noto Sans Arabic" w:eastAsia="Noto Sans Arabic" w:hAnsi="Noto Sans Arabic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48"/>
          <w:szCs w:val="48"/>
          <w:rtl w:val="1"/>
        </w:rPr>
        <w:t xml:space="preserve">یو</w:t>
      </w:r>
      <w:r w:rsidDel="00000000" w:rsidR="00000000" w:rsidRPr="00000000">
        <w:rPr>
          <w:rFonts w:ascii="Noto Sans Arabic" w:cs="Noto Sans Arabic" w:eastAsia="Noto Sans Arabic" w:hAnsi="Noto Sans Arabic"/>
          <w:sz w:val="48"/>
          <w:szCs w:val="48"/>
          <w:rtl w:val="1"/>
        </w:rPr>
        <w:t xml:space="preserve">-</w:t>
      </w:r>
      <w:r w:rsidDel="00000000" w:rsidR="00000000" w:rsidRPr="00000000">
        <w:rPr>
          <w:rFonts w:ascii="Noto Sans Arabic" w:cs="Noto Sans Arabic" w:eastAsia="Noto Sans Arabic" w:hAnsi="Noto Sans Arabic"/>
          <w:sz w:val="48"/>
          <w:szCs w:val="48"/>
          <w:rtl w:val="1"/>
        </w:rPr>
        <w:t xml:space="preserve">نت</w:t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Noto Sans Arabic" w:cs="Noto Sans Arabic" w:eastAsia="Noto Sans Arabic" w:hAnsi="Noto Sans Arabic"/>
          <w:sz w:val="48"/>
          <w:szCs w:val="48"/>
        </w:rPr>
      </w:pPr>
      <w:r w:rsidDel="00000000" w:rsidR="00000000" w:rsidRPr="00000000">
        <w:rPr>
          <w:rFonts w:ascii="Noto Sans Arabic" w:cs="Noto Sans Arabic" w:eastAsia="Noto Sans Arabic" w:hAnsi="Noto Sans Arabic"/>
          <w:sz w:val="48"/>
          <w:szCs w:val="48"/>
          <w:rtl w:val="1"/>
        </w:rPr>
        <w:t xml:space="preserve">امیرحسین</w:t>
      </w:r>
      <w:r w:rsidDel="00000000" w:rsidR="00000000" w:rsidRPr="00000000">
        <w:rPr>
          <w:rFonts w:ascii="Noto Sans Arabic" w:cs="Noto Sans Arabic" w:eastAsia="Noto Sans Arabic" w:hAnsi="Noto Sans Arabic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48"/>
          <w:szCs w:val="48"/>
          <w:rtl w:val="1"/>
        </w:rPr>
        <w:t xml:space="preserve">انتظاری</w:t>
      </w:r>
      <w:r w:rsidDel="00000000" w:rsidR="00000000" w:rsidRPr="00000000">
        <w:rPr>
          <w:rFonts w:ascii="Noto Sans Arabic" w:cs="Noto Sans Arabic" w:eastAsia="Noto Sans Arabic" w:hAnsi="Noto Sans Arabic"/>
          <w:sz w:val="48"/>
          <w:szCs w:val="48"/>
          <w:rtl w:val="1"/>
        </w:rPr>
        <w:t xml:space="preserve">، ۶۱۰۳۹۹۱۰۳</w:t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Noto Sans Arabic" w:cs="Noto Sans Arabic" w:eastAsia="Noto Sans Arabic" w:hAnsi="Noto Sans Arabic"/>
          <w:sz w:val="40"/>
          <w:szCs w:val="40"/>
        </w:rPr>
      </w:pPr>
      <w:r w:rsidDel="00000000" w:rsidR="00000000" w:rsidRPr="00000000">
        <w:rPr>
          <w:rFonts w:ascii="Noto Sans Arabic" w:cs="Noto Sans Arabic" w:eastAsia="Noto Sans Arabic" w:hAnsi="Noto Sans Arabic"/>
          <w:sz w:val="40"/>
          <w:szCs w:val="40"/>
          <w:rtl w:val="1"/>
        </w:rPr>
        <w:t xml:space="preserve">استاد</w:t>
      </w:r>
      <w:r w:rsidDel="00000000" w:rsidR="00000000" w:rsidRPr="00000000">
        <w:rPr>
          <w:rFonts w:ascii="Noto Sans Arabic" w:cs="Noto Sans Arabic" w:eastAsia="Noto Sans Arabic" w:hAnsi="Noto Sans Arabic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40"/>
          <w:szCs w:val="40"/>
          <w:rtl w:val="1"/>
        </w:rPr>
        <w:t xml:space="preserve">درس</w:t>
      </w:r>
      <w:r w:rsidDel="00000000" w:rsidR="00000000" w:rsidRPr="00000000">
        <w:rPr>
          <w:rFonts w:ascii="Noto Sans Arabic" w:cs="Noto Sans Arabic" w:eastAsia="Noto Sans Arabic" w:hAnsi="Noto Sans Arabic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Noto Sans Arabic" w:cs="Noto Sans Arabic" w:eastAsia="Noto Sans Arabic" w:hAnsi="Noto Sans Arabic"/>
          <w:sz w:val="40"/>
          <w:szCs w:val="40"/>
          <w:rtl w:val="1"/>
        </w:rPr>
        <w:t xml:space="preserve">دکتر</w:t>
      </w:r>
      <w:r w:rsidDel="00000000" w:rsidR="00000000" w:rsidRPr="00000000">
        <w:rPr>
          <w:rFonts w:ascii="Noto Sans Arabic" w:cs="Noto Sans Arabic" w:eastAsia="Noto Sans Arabic" w:hAnsi="Noto Sans Arabic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40"/>
          <w:szCs w:val="40"/>
          <w:rtl w:val="1"/>
        </w:rPr>
        <w:t xml:space="preserve">ساجدی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Noto Sans Arabic" w:cs="Noto Sans Arabic" w:eastAsia="Noto Sans Arabic" w:hAnsi="Noto Sans Arab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Noto Sans Arabic" w:cs="Noto Sans Arabic" w:eastAsia="Noto Sans Arabic" w:hAnsi="Noto Sans Arabic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0"/>
        </w:rPr>
        <w:t xml:space="preserve">۱. 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مقدمه</w:t>
      </w:r>
    </w:p>
    <w:p w:rsidR="00000000" w:rsidDel="00000000" w:rsidP="00000000" w:rsidRDefault="00000000" w:rsidRPr="00000000" w14:paraId="0000000A">
      <w:pPr>
        <w:jc w:val="right"/>
        <w:rPr>
          <w:rFonts w:ascii="Noto Sans Arabic" w:cs="Noto Sans Arabic" w:eastAsia="Noto Sans Arabic" w:hAnsi="Noto Sans Arabi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سرطان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روده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بزرگ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یکی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چالش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بهداشت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عمومی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مهم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سراسر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جهان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شناسایی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مداخله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زودرس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بهبود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نتایج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بیماری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ضروری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پولیپ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گوارشی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پیشگویان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متداول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سرطان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روده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بزرگ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شناسایی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دقیق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سگمنتیشن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پزشکی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ضروری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توسعه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ارزیابی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یادگیری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عمیق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سگمنتیشن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پولیپ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گوارشی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معماری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یو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بهره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گیری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پیشرو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تجزیه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تحلیل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تصاویر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پزشکی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سعی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کارآمدی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دقت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تشخیص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پولیپ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دهیم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تشخیص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زودرس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مداخله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موارد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سرطان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روده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بزرگ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تسهیل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jc w:val="left"/>
        <w:rPr>
          <w:rFonts w:ascii="Noto Sans Arabic" w:cs="Noto Sans Arabic" w:eastAsia="Noto Sans Arabic" w:hAnsi="Noto Sans Arabic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۲. 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مجموعه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داده</w:t>
      </w:r>
    </w:p>
    <w:p w:rsidR="00000000" w:rsidDel="00000000" w:rsidP="00000000" w:rsidRDefault="00000000" w:rsidRPr="00000000" w14:paraId="0000000D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مجموعه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Kvasir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SEG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پایه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پژوهش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۱۰۰۰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تصویر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حاوی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نشانه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گذاری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پولیپ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گوارشی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تصویر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ماسک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واقعی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همراه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مناطق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پولیپ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پیکسل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مجموعه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مجموعه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انواع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اندازه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جهت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پولیپ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واقعیت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متفاوتی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حالات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بالینی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jc w:val="left"/>
        <w:rPr>
          <w:rFonts w:ascii="Noto Sans Arabic" w:cs="Noto Sans Arabic" w:eastAsia="Noto Sans Arabic" w:hAnsi="Noto Sans Arabic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۳. 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پیاده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سازی</w:t>
      </w:r>
    </w:p>
    <w:p w:rsidR="00000000" w:rsidDel="00000000" w:rsidP="00000000" w:rsidRDefault="00000000" w:rsidRPr="00000000" w14:paraId="0000000F">
      <w:pPr>
        <w:bidi w:val="1"/>
        <w:jc w:val="left"/>
        <w:rPr>
          <w:rFonts w:ascii="Noto Sans Arabic" w:cs="Noto Sans Arabic" w:eastAsia="Noto Sans Arabic" w:hAnsi="Noto Sans Arab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left"/>
        <w:rPr>
          <w:rFonts w:ascii="Noto Sans Arabic" w:cs="Noto Sans Arabic" w:eastAsia="Noto Sans Arabic" w:hAnsi="Noto Sans Arabic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۳.۱ 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پیش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پردازش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مجموعه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داده</w:t>
      </w:r>
    </w:p>
    <w:p w:rsidR="00000000" w:rsidDel="00000000" w:rsidP="00000000" w:rsidRDefault="00000000" w:rsidRPr="00000000" w14:paraId="00000011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مجموعه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مراحل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رود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اطمینان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حاصل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ساختار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یو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سازگار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یکپارچه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تکنیک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اندازه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نرمال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مجموعه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بهبود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کیفیت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تنوع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مجموعه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اعمال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باعث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آموزش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تعمیم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بهبود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یابد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تجزیه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تحلیل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فراداده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استخراج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امکان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تجزیه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تحلیل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جامع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شناخته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مجموعه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فراهم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ارزش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بیشتری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توسعه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فراهم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left"/>
        <w:rPr>
          <w:rFonts w:ascii="Noto Sans Arabic" w:cs="Noto Sans Arabic" w:eastAsia="Noto Sans Arabic" w:hAnsi="Noto Sans Arabic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۳.۲ 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معماری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مدل</w:t>
      </w:r>
    </w:p>
    <w:p w:rsidR="00000000" w:rsidDel="00000000" w:rsidP="00000000" w:rsidRDefault="00000000" w:rsidRPr="00000000" w14:paraId="00000014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معماری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یو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دلیل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کارایی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وظایف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سگمنتیشن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معنایی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ویژه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تصویربرداری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پزشکی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کاستومایز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encoder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decoder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اتصالات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پرشی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استخراج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ادغام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معماری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لایه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convolutional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pooling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upsampling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concatenation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layer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همراه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نرمال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دسته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Batch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Normalization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dropout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regularization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بهبود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پایداری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همگرایی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آموزش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</w:rPr>
        <w:drawing>
          <wp:inline distB="114300" distT="114300" distL="114300" distR="114300">
            <wp:extent cx="5943600" cy="1206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left"/>
        <w:rPr>
          <w:rFonts w:ascii="Noto Sans Arabic" w:cs="Noto Sans Arabic" w:eastAsia="Noto Sans Arabic" w:hAnsi="Noto Sans Arabic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۳.۳ 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آموزش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مدل</w:t>
      </w:r>
    </w:p>
    <w:p w:rsidR="00000000" w:rsidDel="00000000" w:rsidP="00000000" w:rsidRDefault="00000000" w:rsidRPr="00000000" w14:paraId="00000017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ترکیبی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بهینه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آدام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هزینه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gradient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descent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cross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entropy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loss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آموزش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مجموعه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آموزش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تقسیم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آموزش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اعتبارسنجی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).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آموزش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تکنیک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تقویتی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Batch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Normalization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آید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یادگیری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موثر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پایدار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فراهم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left"/>
        <w:rPr>
          <w:rFonts w:ascii="Noto Sans Arabic" w:cs="Noto Sans Arabic" w:eastAsia="Noto Sans Arabic" w:hAnsi="Noto Sans Arabic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۴. 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مورد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مقایسه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مقاله</w:t>
      </w:r>
    </w:p>
    <w:p w:rsidR="00000000" w:rsidDel="00000000" w:rsidP="00000000" w:rsidRDefault="00000000" w:rsidRPr="00000000" w14:paraId="0000001A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معماری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یو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تقسیم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پولیپ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گوارشی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کردیم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معماری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دلیل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برتر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نتایج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قبول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وظایف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سگمنتیشن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تصاویر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پزشکی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علاوه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معماری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مقاله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Encoder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Decoder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Networks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Gastrointestinal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Polyp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Segmentation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"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مقایسه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دادیم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مقاله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منبع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معتبر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اعتماد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مقایسه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نتایج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ارزیابی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تقسیم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پولیپ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jc w:val="left"/>
        <w:rPr>
          <w:rFonts w:ascii="Noto Sans Arabic" w:cs="Noto Sans Arabic" w:eastAsia="Noto Sans Arabic" w:hAnsi="Noto Sans Arabic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4.1 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تفاوت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کلیدی</w:t>
      </w:r>
    </w:p>
    <w:p w:rsidR="00000000" w:rsidDel="00000000" w:rsidP="00000000" w:rsidRDefault="00000000" w:rsidRPr="00000000" w14:paraId="0000001C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1-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ورودی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مراحل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اضافی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اندازه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تصویر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عادی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استانداردسازی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ورودی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تسهیل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همگرایی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2-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عمق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پیچیدگی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حالی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معماری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Encoder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Decoder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پیشنهاد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مقاله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الهام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گرفته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عمق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پیچیدگی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متعادل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کارایی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محاسباتی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تنظیم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3-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تکنیک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منظم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نرمال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دسته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منظم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حذفی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تعمیم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جلوگیری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برازش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بیش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حد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معماری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تکنیک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منظم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اضافی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تکمیل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صراحت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مقاله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ذکر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نشده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left"/>
        <w:rPr>
          <w:rFonts w:ascii="Noto Sans Arabic" w:cs="Noto Sans Arabic" w:eastAsia="Noto Sans Arabic" w:hAnsi="Noto Sans Arabic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4.2 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دلیل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اصلاحات</w:t>
      </w:r>
    </w:p>
    <w:p w:rsidR="00000000" w:rsidDel="00000000" w:rsidP="00000000" w:rsidRDefault="00000000" w:rsidRPr="00000000" w14:paraId="00000021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تغییرات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انگیزه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انطباق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معماری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مجموعه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خاص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منابع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محاسباتی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اهداف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تنظیم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دقیق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معماری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فراپارامترها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دستیابی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بهینه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توانایی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تعمیم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پیشی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گرفتن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مطابقت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نتایج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گزارش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مقاله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مرجع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jc w:val="left"/>
        <w:rPr>
          <w:rFonts w:ascii="Noto Sans Arabic" w:cs="Noto Sans Arabic" w:eastAsia="Noto Sans Arabic" w:hAnsi="Noto Sans Arabic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5. 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نتایج</w:t>
      </w:r>
    </w:p>
    <w:p w:rsidR="00000000" w:rsidDel="00000000" w:rsidP="00000000" w:rsidRDefault="00000000" w:rsidRPr="00000000" w14:paraId="00000023">
      <w:pPr>
        <w:bidi w:val="1"/>
        <w:jc w:val="left"/>
        <w:rPr>
          <w:rFonts w:ascii="Noto Sans Arabic" w:cs="Noto Sans Arabic" w:eastAsia="Noto Sans Arabic" w:hAnsi="Noto Sans Arabic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5.1 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تجزیه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تحلیل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کمی</w:t>
      </w:r>
    </w:p>
    <w:p w:rsidR="00000000" w:rsidDel="00000000" w:rsidP="00000000" w:rsidRDefault="00000000" w:rsidRPr="00000000" w14:paraId="00000024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آموزش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دیده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معیارهای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رقابتی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مجموعه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آزمایشی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یابد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5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Accuracy: 98%</w:t>
      </w:r>
    </w:p>
    <w:p w:rsidR="00000000" w:rsidDel="00000000" w:rsidP="00000000" w:rsidRDefault="00000000" w:rsidRPr="00000000" w14:paraId="00000027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Precision: 78%</w:t>
      </w:r>
    </w:p>
    <w:p w:rsidR="00000000" w:rsidDel="00000000" w:rsidP="00000000" w:rsidRDefault="00000000" w:rsidRPr="00000000" w14:paraId="00000028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Recall: 85%</w:t>
      </w:r>
    </w:p>
    <w:p w:rsidR="00000000" w:rsidDel="00000000" w:rsidP="00000000" w:rsidRDefault="00000000" w:rsidRPr="00000000" w14:paraId="00000029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F1-score: 75%</w:t>
      </w:r>
    </w:p>
    <w:p w:rsidR="00000000" w:rsidDel="00000000" w:rsidP="00000000" w:rsidRDefault="00000000" w:rsidRPr="00000000" w14:paraId="0000002A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نتایج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دهنده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کارایی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تعیین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دقیق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مناطق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پولیپ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تصاویر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آندوسکوپی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پتانسیل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کاربرد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بالینی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غربالگری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تشخیص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سرطان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روده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بزرگ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jc w:val="left"/>
        <w:rPr>
          <w:rFonts w:ascii="Noto Sans Arabic" w:cs="Noto Sans Arabic" w:eastAsia="Noto Sans Arabic" w:hAnsi="Noto Sans Arabic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5.2 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تجزیه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تحلیل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کیفی</w:t>
      </w:r>
    </w:p>
    <w:p w:rsidR="00000000" w:rsidDel="00000000" w:rsidP="00000000" w:rsidRDefault="00000000" w:rsidRPr="00000000" w14:paraId="0000002C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بازرسی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بصری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نتایج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تطابق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بالایی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بین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ماسک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بینی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حاشیه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نویسی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حقیقت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زمین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موثر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مناطق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پولیپ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شناسایی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ترسیم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حتی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موارد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چالش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برانگیز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اشکال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نامنظم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کنتراست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موارد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مثبت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کاذب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منفی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کاذب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حداقل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دهنده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پایداری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توانایی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تعمیم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1478575</wp:posOffset>
            </wp:positionV>
            <wp:extent cx="5943600" cy="25400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3133725</wp:posOffset>
            </wp:positionH>
            <wp:positionV relativeFrom="paragraph">
              <wp:posOffset>2058500</wp:posOffset>
            </wp:positionV>
            <wp:extent cx="3409643" cy="2609850"/>
            <wp:effectExtent b="0" l="0" r="0" t="0"/>
            <wp:wrapTopAndBottom distB="114300" distT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643" cy="260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2057400</wp:posOffset>
            </wp:positionV>
            <wp:extent cx="3623254" cy="2705100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3254" cy="270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114300</wp:posOffset>
            </wp:positionV>
            <wp:extent cx="5943600" cy="1498600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bidi w:val="1"/>
        <w:rPr>
          <w:rFonts w:ascii="Noto Sans Arabic" w:cs="Noto Sans Arabic" w:eastAsia="Noto Sans Arabic" w:hAnsi="Noto Sans Arabic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6. 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بحث</w:t>
      </w:r>
    </w:p>
    <w:p w:rsidR="00000000" w:rsidDel="00000000" w:rsidP="00000000" w:rsidRDefault="00000000" w:rsidRPr="00000000" w14:paraId="0000002F">
      <w:pPr>
        <w:bidi w:val="1"/>
        <w:rPr>
          <w:rFonts w:ascii="Noto Sans Arabic" w:cs="Noto Sans Arabic" w:eastAsia="Noto Sans Arabic" w:hAnsi="Noto Sans Arabic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6.1 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عملکرد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مدل</w:t>
      </w:r>
    </w:p>
    <w:p w:rsidR="00000000" w:rsidDel="00000000" w:rsidP="00000000" w:rsidRDefault="00000000" w:rsidRPr="00000000" w14:paraId="00000030">
      <w:pPr>
        <w:bidi w:val="1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معیارهای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مشاهده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اثربخشی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رویکرد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پیشنهادی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تقسیم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پولیپ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دستگاه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گوارش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نمرات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accuracy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precision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recall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بالا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دهنده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توانایی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شناسایی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دقیق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ترسیم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مناطق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پولیپ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تصاویر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آندوسکوپی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بهبود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تصمیم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گیری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بالینی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نتایج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بیمار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کمک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rPr>
          <w:rFonts w:ascii="Noto Sans Arabic" w:cs="Noto Sans Arabic" w:eastAsia="Noto Sans Arabic" w:hAnsi="Noto Sans Arabic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6.2 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محدودیت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چالش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2"/>
          <w:szCs w:val="32"/>
          <w:rtl w:val="1"/>
        </w:rPr>
        <w:t xml:space="preserve">ها</w:t>
      </w:r>
    </w:p>
    <w:p w:rsidR="00000000" w:rsidDel="00000000" w:rsidP="00000000" w:rsidRDefault="00000000" w:rsidRPr="00000000" w14:paraId="00000032">
      <w:pPr>
        <w:bidi w:val="1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علیرغم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نتایج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امیدوارکننده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محدودیت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چالش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متعددی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فعلی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اینها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تنوع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محدود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مجموعه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عدم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تعادل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طبقاتی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سوگیری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احتمالی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ground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truth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annotations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پرداختن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چالش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آوری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پیشرفته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تکنیک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تقویت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استراتژی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منظم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توانایی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تعمیم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بهبود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بخشد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>
          <w:rFonts w:ascii="Noto Sans Arabic" w:cs="Noto Sans Arabic" w:eastAsia="Noto Sans Arabic" w:hAnsi="Noto Sans Arabic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7. 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نتیجه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36"/>
          <w:szCs w:val="36"/>
          <w:rtl w:val="1"/>
        </w:rPr>
        <w:t xml:space="preserve">گیری</w:t>
      </w:r>
    </w:p>
    <w:p w:rsidR="00000000" w:rsidDel="00000000" w:rsidP="00000000" w:rsidRDefault="00000000" w:rsidRPr="00000000" w14:paraId="00000034">
      <w:pPr>
        <w:bidi w:val="1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توسعه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ارزیابی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مبتنی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Net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سگمنتیشن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پولیپ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دستگاه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گوارش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پیشرفت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توجهی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تجزیه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تحلیل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خودکار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تصاویر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پزشکی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accuracy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precision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0"/>
        </w:rPr>
        <w:t xml:space="preserve">recall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همراه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اعتبار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سنجی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کیفی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دهنده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کارایی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کاربرد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بالینی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بالقوه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غربالگری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تشخیص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سرطان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سرطان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روده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بزرگ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حرکت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رو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جلو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ادامه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تحقیقات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همکاری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متخصصان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مراقبت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بهداشتی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اعتبارسنجی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استقرار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محیط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بالینی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دنیای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واقعی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ضروری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نهایت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بهبود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تشخیص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مدیریت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سرطان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روده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بزرگ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نفع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بیماران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Noto Sans Arabic" w:cs="Noto Sans Arabic" w:eastAsia="Noto Sans Arabic" w:hAnsi="Noto Sans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left"/>
        <w:rPr>
          <w:rFonts w:ascii="Noto Sans Arabic" w:cs="Noto Sans Arabic" w:eastAsia="Noto Sans Arabic" w:hAnsi="Noto Sans Arabic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Arabi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Arabic-regular.ttf"/><Relationship Id="rId2" Type="http://schemas.openxmlformats.org/officeDocument/2006/relationships/font" Target="fonts/NotoSansArab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