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11827"/>
          <w:sz w:val="40"/>
        </w:rPr>
        <w:t>Rapport d’Évaluation de Compatibilité</w:t>
      </w:r>
    </w:p>
    <w:p>
      <w:pPr>
        <w:spacing w:after="280"/>
      </w:pPr>
      <w:r>
        <w:rPr>
          <w:rFonts w:ascii="Calibri" w:hAnsi="Calibri"/>
          <w:color w:val="6B7280"/>
          <w:sz w:val="18"/>
        </w:rPr>
        <w:t>CV Fit Analyzer  ·  Généré le 14 June 2026 à 15:30</w:t>
      </w:r>
    </w:p>
    <w:p>
      <w:pPr>
        <w:spacing w:before="80" w:after="80"/>
        <w:pBdr>
          <w:bottom w:val="single" w:sz="4" w:space="1" w:color="E5E7EB"/>
        </w:pBdr>
      </w:pPr>
    </w:p>
    <w:p>
      <w:pPr>
        <w:pStyle w:val="Heading1"/>
      </w:pPr>
      <w:r>
        <w:t>Score Global</w:t>
      </w:r>
    </w:p>
    <w:tbl>
      <w:tblPr>
        <w:tblW w:type="auto" w:w="0"/>
        <w:jc w:val="left"/>
        <w:tblLook w:firstColumn="1" w:firstRow="1" w:lastColumn="0" w:lastRow="0" w:noHBand="0" w:noVBand="1" w:val="04A0"/>
        <w:tblW w:w="0" w:type="auto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94A3B8"/>
                <w:sz w:val="16"/>
              </w:rPr>
              <w:t>Score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94A3B8"/>
                <w:sz w:val="16"/>
              </w:rPr>
              <w:t>Niveau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94A3B8"/>
                <w:sz w:val="16"/>
              </w:rPr>
              <w:t>Matchées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94A3B8"/>
                <w:sz w:val="16"/>
              </w:rPr>
              <w:t>Requises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1A202C"/>
                <w:sz w:val="28"/>
              </w:rPr>
              <w:t>95.0%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1A202C"/>
                <w:sz w:val="28"/>
              </w:rPr>
              <w:t>Excellent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1A202C"/>
                <w:sz w:val="28"/>
              </w:rPr>
              <w:t>10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1A202C"/>
                <w:sz w:val="28"/>
              </w:rPr>
              <w:t>10</w:t>
            </w:r>
          </w:p>
        </w:tc>
      </w:tr>
    </w:tbl>
    <w:p/>
    <w:p>
      <w:pPr>
        <w:pStyle w:val="Heading1"/>
      </w:pPr>
      <w:r>
        <w:t>Compétences Critiques</w:t>
      </w:r>
    </w:p>
    <w:tbl>
      <w:tblPr>
        <w:tblW w:type="auto" w:w="0"/>
        <w:tblLook w:firstColumn="1" w:firstRow="1" w:lastColumn="0" w:lastRow="0" w:noHBand="0" w:noVBand="1" w:val="04A0"/>
        <w:tblW w:w="0" w:type="auto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Calibri" w:hAnsi="Calibri"/>
                <w:b/>
                <w:color w:val="94A3B8"/>
                <w:sz w:val="16"/>
              </w:rPr>
              <w:t>Catégorie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b/>
                <w:color w:val="94A3B8"/>
                <w:sz w:val="16"/>
              </w:rPr>
              <w:t>Match %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b/>
                <w:color w:val="94A3B8"/>
                <w:sz w:val="16"/>
              </w:rPr>
              <w:t>Matchées/Requises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b/>
                <w:color w:val="94A3B8"/>
                <w:sz w:val="16"/>
              </w:rPr>
              <w:t>Compétences Manquantes</w:t>
            </w:r>
          </w:p>
        </w:tc>
      </w:tr>
      <w:tr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Langages de Programmation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100%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1/1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—</w:t>
            </w:r>
          </w:p>
        </w:tc>
      </w:tr>
      <w:tr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Développement Backend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100%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2/2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—</w:t>
            </w:r>
          </w:p>
        </w:tc>
      </w:tr>
      <w:tr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Développement Frontend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100%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1/1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—</w:t>
            </w:r>
          </w:p>
        </w:tc>
      </w:tr>
      <w:tr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Bases de Données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100%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2/2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—</w:t>
            </w:r>
          </w:p>
        </w:tc>
      </w:tr>
      <w:tr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Cloud &amp; DevOps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100%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1/1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—</w:t>
            </w:r>
          </w:p>
        </w:tc>
      </w:tr>
      <w:tr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Gestion de Version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100%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1/1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Compétences Importantes</w:t>
      </w:r>
    </w:p>
    <w:tbl>
      <w:tblPr>
        <w:tblW w:type="auto" w:w="0"/>
        <w:tblLook w:firstColumn="1" w:firstRow="1" w:lastColumn="0" w:lastRow="0" w:noHBand="0" w:noVBand="1" w:val="04A0"/>
        <w:tblW w:w="0" w:type="auto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Calibri" w:hAnsi="Calibri"/>
                <w:b/>
                <w:color w:val="94A3B8"/>
                <w:sz w:val="16"/>
              </w:rPr>
              <w:t>Catégorie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b/>
                <w:color w:val="94A3B8"/>
                <w:sz w:val="16"/>
              </w:rPr>
              <w:t>Match %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b/>
                <w:color w:val="94A3B8"/>
                <w:sz w:val="16"/>
              </w:rPr>
              <w:t>Matchées/Requises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b/>
                <w:color w:val="94A3B8"/>
                <w:sz w:val="16"/>
              </w:rPr>
              <w:t>Compétences Manquantes</w:t>
            </w:r>
          </w:p>
        </w:tc>
      </w:tr>
      <w:tr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Langues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100%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2/2</w:t>
            </w:r>
          </w:p>
        </w:tc>
        <w:tc>
          <w:tcPr>
            <w:tcW w:type="dxa" w:w="2266"/>
          </w:tcPr>
          <w:p>
            <w:r>
              <w:rPr>
                <w:rFonts w:ascii="Calibri" w:hAnsi="Calibri"/>
                <w:color w:val="475569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Points Forts</w:t>
      </w:r>
    </w:p>
    <w:p>
      <w:pPr>
        <w:pStyle w:val="ListBullet"/>
        <w:spacing w:after="60"/>
      </w:pPr>
      <w:r>
        <w:rPr>
          <w:rFonts w:ascii="Calibri" w:hAnsi="Calibri"/>
          <w:color w:val="475569"/>
          <w:sz w:val="20"/>
        </w:rPr>
        <w:t>Excellente couverture en Langages de Programmation (1/1 compétences)</w:t>
      </w:r>
    </w:p>
    <w:p>
      <w:pPr>
        <w:pStyle w:val="ListBullet"/>
        <w:spacing w:after="60"/>
      </w:pPr>
      <w:r>
        <w:rPr>
          <w:rFonts w:ascii="Calibri" w:hAnsi="Calibri"/>
          <w:color w:val="475569"/>
          <w:sz w:val="20"/>
        </w:rPr>
        <w:t>Excellente couverture en Développement Frontend (1/1 compétences)</w:t>
      </w:r>
    </w:p>
    <w:p>
      <w:pPr>
        <w:pStyle w:val="ListBullet"/>
        <w:spacing w:after="60"/>
      </w:pPr>
      <w:r>
        <w:rPr>
          <w:rFonts w:ascii="Calibri" w:hAnsi="Calibri"/>
          <w:color w:val="475569"/>
          <w:sz w:val="20"/>
        </w:rPr>
        <w:t>Excellente couverture en Développement Backend (2/2 compétences)</w:t>
      </w:r>
    </w:p>
    <w:p>
      <w:pPr>
        <w:pStyle w:val="ListBullet"/>
        <w:spacing w:after="60"/>
      </w:pPr>
      <w:r>
        <w:rPr>
          <w:rFonts w:ascii="Calibri" w:hAnsi="Calibri"/>
          <w:color w:val="475569"/>
          <w:sz w:val="20"/>
        </w:rPr>
        <w:t>Excellente couverture en Bases de Données (2/2 compétences)</w:t>
      </w:r>
    </w:p>
    <w:p>
      <w:pPr>
        <w:pStyle w:val="ListBullet"/>
        <w:spacing w:after="60"/>
      </w:pPr>
      <w:r>
        <w:rPr>
          <w:rFonts w:ascii="Calibri" w:hAnsi="Calibri"/>
          <w:color w:val="475569"/>
          <w:sz w:val="20"/>
        </w:rPr>
        <w:t>Excellente couverture en Cloud &amp; DevOps (1/1 compétences)</w:t>
      </w:r>
    </w:p>
    <w:p>
      <w:pPr>
        <w:pStyle w:val="Heading1"/>
      </w:pPr>
      <w:r>
        <w:t>Recommandations</w:t>
      </w:r>
    </w:p>
    <w:p>
      <w:pPr>
        <w:pStyle w:val="ListBullet"/>
        <w:spacing w:after="60"/>
      </w:pPr>
      <w:r>
        <w:rPr>
          <w:rFonts w:ascii="Calibri" w:hAnsi="Calibri"/>
          <w:color w:val="475569"/>
          <w:sz w:val="20"/>
        </w:rPr>
        <w:t>Profil très bien aligné avec le poste. Mettre en avant les projets concrets.</w:t>
      </w:r>
    </w:p>
    <w:p/>
    <w:p>
      <w:pPr>
        <w:spacing w:before="80" w:after="80"/>
        <w:pBdr>
          <w:bottom w:val="single" w:sz="4" w:space="1" w:color="E5E7EB"/>
        </w:pBdr>
      </w:pPr>
    </w:p>
    <w:p>
      <w:pPr>
        <w:spacing w:before="120"/>
        <w:jc w:val="center"/>
      </w:pPr>
      <w:r>
        <w:rPr>
          <w:rFonts w:ascii="Calibri" w:hAnsi="Calibri"/>
          <w:color w:val="6B7280"/>
          <w:sz w:val="16"/>
        </w:rPr>
        <w:t>CV Fit Analyzer  ·  Rapport d'évaluation de compatibilité CV ↔ Fiche de poste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7415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