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Initial Assessment / Intake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DOB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Assessment date</w:t>
            </w:r>
          </w:p>
        </w:tc>
        <w:tc>
          <w:tcPr>
            <w:tcW w:type="dxa" w:w="4320"/>
          </w:tcPr>
          <w:p>
            <w:r>
              <w:t>10 February 2026</w:t>
            </w:r>
          </w:p>
        </w:tc>
      </w:tr>
      <w:tr>
        <w:tc>
          <w:tcPr>
            <w:tcW w:type="dxa" w:w="4320"/>
          </w:tcPr>
          <w:p>
            <w:r>
              <w:t>Clinician</w:t>
            </w:r>
          </w:p>
        </w:tc>
        <w:tc>
          <w:tcPr>
            <w:tcW w:type="dxa" w:w="4320"/>
          </w:tcPr>
          <w:p>
            <w:r>
              <w:t>Dr. Amelia Ferro, Clinical Psychologist</w:t>
            </w:r>
          </w:p>
        </w:tc>
      </w:tr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t>Initial consultation (90 min)</w:t>
            </w:r>
          </w:p>
        </w:tc>
      </w:tr>
    </w:tbl>
    <w:p/>
    <w:p>
      <w:pPr>
        <w:pStyle w:val="Heading2"/>
      </w:pPr>
      <w:r>
        <w:t>Presenting Problem</w:t>
      </w:r>
    </w:p>
    <w:p>
      <w:r>
        <w:t>Client presents with symptoms consistent with an adjustment disorder with mixed anxiety and depressed mood, precipitated by a workplace near-miss incident in October 2025. Reports intrusive recollections 3–4 times per week, sleep onset latency of 60+ minutes, early morning waking, decreased appetite, and irritability noted by his partner. Denies suicidal ideation, denies self-harm history. Some passive thoughts of 'not wanting to wake up' during the worst week (early December 2025), no plan or intent, resolved with improved sleep.</w:t>
      </w:r>
    </w:p>
    <w:p>
      <w:pPr>
        <w:pStyle w:val="Heading2"/>
      </w:pPr>
      <w:r>
        <w:t>Developmental &amp; Personal History</w:t>
      </w:r>
    </w:p>
    <w:p>
      <w:r>
        <w:t>Born in Bendigo VIC, raised by both biological parents alongside one younger sibling. Reports a stable, unremarkable childhood with no history of abuse or neglect disclosed. Completed Year 12, followed by a Certificate III in Logistics. Describes himself premorbidly as even-tempered, socially engaged, and physically active (plays weekend football).</w:t>
      </w:r>
    </w:p>
    <w:p>
      <w:pPr>
        <w:pStyle w:val="Heading2"/>
      </w:pPr>
      <w:r>
        <w:t>Family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/ notes</w:t>
            </w:r>
          </w:p>
        </w:tc>
      </w:tr>
      <w:tr>
        <w:tc>
          <w:tcPr>
            <w:tcW w:type="dxa" w:w="2160"/>
          </w:tcPr>
          <w:p>
            <w:r>
              <w:t>Spouse</w:t>
            </w:r>
          </w:p>
        </w:tc>
        <w:tc>
          <w:tcPr>
            <w:tcW w:type="dxa" w:w="2160"/>
          </w:tcPr>
          <w:p>
            <w:r>
              <w:t>Priya Whitfield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Registered nurse; supportive, some strain reported</w:t>
            </w:r>
          </w:p>
        </w:tc>
      </w:tr>
      <w:tr>
        <w:tc>
          <w:tcPr>
            <w:tcW w:type="dxa" w:w="2160"/>
          </w:tcPr>
          <w:p>
            <w:r>
              <w:t>Son</w:t>
            </w:r>
          </w:p>
        </w:tc>
        <w:tc>
          <w:tcPr>
            <w:tcW w:type="dxa" w:w="2160"/>
          </w:tcPr>
          <w:p>
            <w:r>
              <w:t>Kai Whitfield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No concerns</w:t>
            </w:r>
          </w:p>
        </w:tc>
      </w:tr>
      <w:tr>
        <w:tc>
          <w:tcPr>
            <w:tcW w:type="dxa" w:w="2160"/>
          </w:tcPr>
          <w:p>
            <w:r>
              <w:t>Daughter</w:t>
            </w:r>
          </w:p>
        </w:tc>
        <w:tc>
          <w:tcPr>
            <w:tcW w:type="dxa" w:w="2160"/>
          </w:tcPr>
          <w:p>
            <w:r>
              <w:t>Mira Whitfield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 concerns</w:t>
            </w:r>
          </w:p>
        </w:tc>
      </w:tr>
      <w:tr>
        <w:tc>
          <w:tcPr>
            <w:tcW w:type="dxa" w:w="2160"/>
          </w:tcPr>
          <w:p>
            <w:r>
              <w:t>Mother</w:t>
            </w:r>
          </w:p>
        </w:tc>
        <w:tc>
          <w:tcPr>
            <w:tcW w:type="dxa" w:w="2160"/>
          </w:tcPr>
          <w:p>
            <w:r>
              <w:t>Denise Whitfield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GAD, managed in community by GP</w:t>
            </w:r>
          </w:p>
        </w:tc>
      </w:tr>
      <w:tr>
        <w:tc>
          <w:tcPr>
            <w:tcW w:type="dxa" w:w="2160"/>
          </w:tcPr>
          <w:p>
            <w:r>
              <w:t>Father</w:t>
            </w:r>
          </w:p>
        </w:tc>
        <w:tc>
          <w:tcPr>
            <w:tcW w:type="dxa" w:w="2160"/>
          </w:tcPr>
          <w:p>
            <w:r>
              <w:t>Robert Whitfield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Hypertension; otherwise well</w:t>
            </w:r>
          </w:p>
        </w:tc>
      </w:tr>
    </w:tbl>
    <w:p/>
    <w:p>
      <w:pPr>
        <w:pStyle w:val="Heading2"/>
      </w:pPr>
      <w:r>
        <w:t>Social &amp; Occupational History</w:t>
      </w:r>
    </w:p>
    <w:p>
      <w:r>
        <w:t>Employed as a warehouse supervisor at Coburg Logistics Pty Ltd for 11 years, currently on modified duties (office-based) since the incident. Married 12 years. Home owner. Reports a small but reliable social network — weekend football club teammates and two close friends from high school. Financial stress described as 'manageable but tight' due to reduced overtime since moving to modified duties.</w:t>
      </w:r>
    </w:p>
    <w:p>
      <w:pPr>
        <w:pStyle w:val="Heading2"/>
      </w:pPr>
      <w:r>
        <w:t>Substance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Substance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since incident</w:t>
            </w:r>
          </w:p>
        </w:tc>
      </w:tr>
      <w:tr>
        <w:tc>
          <w:tcPr>
            <w:tcW w:type="dxa" w:w="2880"/>
          </w:tcPr>
          <w:p>
            <w:r>
              <w:t>Alcohol</w:t>
            </w:r>
          </w:p>
        </w:tc>
        <w:tc>
          <w:tcPr>
            <w:tcW w:type="dxa" w:w="2880"/>
          </w:tcPr>
          <w:p>
            <w:r>
              <w:t>6–8 standard drinks/week, mostly weekends</w:t>
            </w:r>
          </w:p>
        </w:tc>
        <w:tc>
          <w:tcPr>
            <w:tcW w:type="dxa" w:w="2880"/>
          </w:tcPr>
          <w:p>
            <w:r>
              <w:t>Increased from ~2/week</w:t>
            </w:r>
          </w:p>
        </w:tc>
      </w:tr>
      <w:tr>
        <w:tc>
          <w:tcPr>
            <w:tcW w:type="dxa" w:w="2880"/>
          </w:tcPr>
          <w:p>
            <w:r>
              <w:t>Tobacco</w:t>
            </w:r>
          </w:p>
        </w:tc>
        <w:tc>
          <w:tcPr>
            <w:tcW w:type="dxa" w:w="2880"/>
          </w:tcPr>
          <w:p>
            <w:r>
              <w:t>Non-smoker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Caffeine</w:t>
            </w:r>
          </w:p>
        </w:tc>
        <w:tc>
          <w:tcPr>
            <w:tcW w:type="dxa" w:w="2880"/>
          </w:tcPr>
          <w:p>
            <w:r>
              <w:t>3–4 coffees/day</w:t>
            </w:r>
          </w:p>
        </w:tc>
        <w:tc>
          <w:tcPr>
            <w:tcW w:type="dxa" w:w="2880"/>
          </w:tcPr>
          <w:p>
            <w:r>
              <w:t>Increased from 1–2/day</w:t>
            </w:r>
          </w:p>
        </w:tc>
      </w:tr>
      <w:tr>
        <w:tc>
          <w:tcPr>
            <w:tcW w:type="dxa" w:w="2880"/>
          </w:tcPr>
          <w:p>
            <w:r>
              <w:t>Illicit drugs</w:t>
            </w:r>
          </w:p>
        </w:tc>
        <w:tc>
          <w:tcPr>
            <w:tcW w:type="dxa" w:w="2880"/>
          </w:tcPr>
          <w:p>
            <w:r>
              <w:t>Denies current or past use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2"/>
      </w:pPr>
      <w:r>
        <w:t>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Suicidal ideation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Passive ideation Dec 2025, resolved; no current SI</w:t>
            </w:r>
          </w:p>
        </w:tc>
      </w:tr>
      <w:tr>
        <w:tc>
          <w:tcPr>
            <w:tcW w:type="dxa" w:w="2880"/>
          </w:tcPr>
          <w:p>
            <w:r>
              <w:t>Self-harm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No history</w:t>
            </w:r>
          </w:p>
        </w:tc>
      </w:tr>
      <w:tr>
        <w:tc>
          <w:tcPr>
            <w:tcW w:type="dxa" w:w="2880"/>
          </w:tcPr>
          <w:p>
            <w:r>
              <w:t>Risk to others</w:t>
            </w:r>
          </w:p>
        </w:tc>
        <w:tc>
          <w:tcPr>
            <w:tcW w:type="dxa" w:w="2880"/>
          </w:tcPr>
          <w:p>
            <w:r>
              <w:t>Nil identified</w:t>
            </w:r>
          </w:p>
        </w:tc>
        <w:tc>
          <w:tcPr>
            <w:tcW w:type="dxa" w:w="2880"/>
          </w:tcPr>
          <w:p>
            <w:r>
              <w:t>No history of aggression</w:t>
            </w:r>
          </w:p>
        </w:tc>
      </w:tr>
      <w:tr>
        <w:tc>
          <w:tcPr>
            <w:tcW w:type="dxa" w:w="2880"/>
          </w:tcPr>
          <w:p>
            <w:r>
              <w:t>Risk from others</w:t>
            </w:r>
          </w:p>
        </w:tc>
        <w:tc>
          <w:tcPr>
            <w:tcW w:type="dxa" w:w="2880"/>
          </w:tcPr>
          <w:p>
            <w:r>
              <w:t>Nil identified</w:t>
            </w:r>
          </w:p>
        </w:tc>
        <w:tc>
          <w:tcPr>
            <w:tcW w:type="dxa" w:w="2880"/>
          </w:tcPr>
          <w:p>
            <w:r>
              <w:t>Denies family violence, denies coercion</w:t>
            </w:r>
          </w:p>
        </w:tc>
      </w:tr>
      <w:tr>
        <w:tc>
          <w:tcPr>
            <w:tcW w:type="dxa" w:w="2880"/>
          </w:tcPr>
          <w:p>
            <w:r>
              <w:t>Occupational risk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Hypervigilance around machinery on warehouse floor</w:t>
            </w:r>
          </w:p>
        </w:tc>
      </w:tr>
    </w:tbl>
    <w:p/>
    <w:p>
      <w:pPr>
        <w:pStyle w:val="Heading2"/>
      </w:pPr>
      <w:r>
        <w:t>Mental State on Presentation</w:t>
      </w:r>
    </w:p>
    <w:p>
      <w:r>
        <w:t>Appearance and behaviour: casually dressed, good eye contact, mild psychomotor tension. Mood: 'flat, on edge.' Affect: reactive, congruent, mildly restricted range. Speech: normal rate and volume. Thought form: linear, goal-directed. Thought content: no delusions; preoccupation with safety at work. Perception: no hallucinations reported. Cognition: alert, oriented x4, attention intact. Insight: good. Judgement: intact.</w:t>
      </w:r>
    </w:p>
    <w:p>
      <w:pPr>
        <w:pStyle w:val="Heading2"/>
      </w:pPr>
      <w:r>
        <w:t>Formulation Notes (clinician working notes)</w:t>
      </w:r>
    </w:p>
    <w:p>
      <w:r>
        <w:t>Predisposing: family history of anxiety, high personal standards at work. Precipitating: October 2025 forklift near-miss involving a colleague. Perpetuating: avoidance of warehouse floor, increased alcohol/caffeine use, sleep disruption maintaining hyperarousal. Protective: stable marriage, supportive spouse, engaged employer offering modified duties, no prior psychiatric history, good insight and motivation for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