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Session Log &amp; Progress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Jordan Elliot Whitfield</w:t>
            </w:r>
          </w:p>
        </w:tc>
      </w:tr>
      <w:tr>
        <w:tc>
          <w:tcPr>
            <w:tcW w:type="dxa" w:w="4320"/>
          </w:tcPr>
          <w:p>
            <w:r>
              <w:t>Treating clinician</w:t>
            </w:r>
          </w:p>
        </w:tc>
        <w:tc>
          <w:tcPr>
            <w:tcW w:type="dxa" w:w="4320"/>
          </w:tcPr>
          <w:p>
            <w:r>
              <w:t>Dr. Amelia Ferro, Clinical Psychologist</w:t>
            </w:r>
          </w:p>
        </w:tc>
      </w:tr>
      <w:tr>
        <w:tc>
          <w:tcPr>
            <w:tcW w:type="dxa" w:w="4320"/>
          </w:tcPr>
          <w:p>
            <w:r>
              <w:t>Treatment modality</w:t>
            </w:r>
          </w:p>
        </w:tc>
        <w:tc>
          <w:tcPr>
            <w:tcW w:type="dxa" w:w="4320"/>
          </w:tcPr>
          <w:p>
            <w:r>
              <w:t>Trauma-focused CBT with graded exposure</w:t>
            </w:r>
          </w:p>
        </w:tc>
      </w:tr>
      <w:tr>
        <w:tc>
          <w:tcPr>
            <w:tcW w:type="dxa" w:w="4320"/>
          </w:tcPr>
          <w:p>
            <w:r>
              <w:t>Referral basis</w:t>
            </w:r>
          </w:p>
        </w:tc>
        <w:tc>
          <w:tcPr>
            <w:tcW w:type="dxa" w:w="4320"/>
          </w:tcPr>
          <w:p>
            <w:r>
              <w:t>Mental Health Care Plan, Item 2710</w:t>
            </w:r>
          </w:p>
        </w:tc>
      </w:tr>
    </w:tbl>
    <w:p/>
    <w:p>
      <w:pPr>
        <w:pStyle w:val="Heading2"/>
      </w:pPr>
      <w:r>
        <w:t>Session Summary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Session 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Attendance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1440"/>
          </w:tcPr>
          <w:p>
            <w:r>
              <w:t>10/02/2026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90 min</w:t>
            </w:r>
          </w:p>
        </w:tc>
        <w:tc>
          <w:tcPr>
            <w:tcW w:type="dxa" w:w="1440"/>
          </w:tcPr>
          <w:p>
            <w:r>
              <w:t>In person</w:t>
            </w:r>
          </w:p>
        </w:tc>
        <w:tc>
          <w:tcPr>
            <w:tcW w:type="dxa" w:w="1440"/>
          </w:tcPr>
          <w:p>
            <w:r>
              <w:t>Attended</w:t>
            </w:r>
          </w:p>
        </w:tc>
        <w:tc>
          <w:tcPr>
            <w:tcW w:type="dxa" w:w="1440"/>
          </w:tcPr>
          <w:p>
            <w:r>
              <w:t>Intake &amp; biopsychosocial assessment completed.</w:t>
            </w:r>
          </w:p>
        </w:tc>
      </w:tr>
      <w:tr>
        <w:tc>
          <w:tcPr>
            <w:tcW w:type="dxa" w:w="1440"/>
          </w:tcPr>
          <w:p>
            <w:r>
              <w:t>17/02/2026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50 min</w:t>
            </w:r>
          </w:p>
        </w:tc>
        <w:tc>
          <w:tcPr>
            <w:tcW w:type="dxa" w:w="1440"/>
          </w:tcPr>
          <w:p>
            <w:r>
              <w:t>In person</w:t>
            </w:r>
          </w:p>
        </w:tc>
        <w:tc>
          <w:tcPr>
            <w:tcW w:type="dxa" w:w="1440"/>
          </w:tcPr>
          <w:p>
            <w:r>
              <w:t>Attended</w:t>
            </w:r>
          </w:p>
        </w:tc>
        <w:tc>
          <w:tcPr>
            <w:tcW w:type="dxa" w:w="1440"/>
          </w:tcPr>
          <w:p>
            <w:r>
              <w:t>Psychoeducation on trauma response; sleep hygiene plan set.</w:t>
            </w:r>
          </w:p>
        </w:tc>
      </w:tr>
      <w:tr>
        <w:tc>
          <w:tcPr>
            <w:tcW w:type="dxa" w:w="1440"/>
          </w:tcPr>
          <w:p>
            <w:r>
              <w:t>24/02/2026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50 min</w:t>
            </w:r>
          </w:p>
        </w:tc>
        <w:tc>
          <w:tcPr>
            <w:tcW w:type="dxa" w:w="1440"/>
          </w:tcPr>
          <w:p>
            <w:r>
              <w:t>Telehealth</w:t>
            </w:r>
          </w:p>
        </w:tc>
        <w:tc>
          <w:tcPr>
            <w:tcW w:type="dxa" w:w="1440"/>
          </w:tcPr>
          <w:p>
            <w:r>
              <w:t>Attended</w:t>
            </w:r>
          </w:p>
        </w:tc>
        <w:tc>
          <w:tcPr>
            <w:tcW w:type="dxa" w:w="1440"/>
          </w:tcPr>
          <w:p>
            <w:r>
              <w:t>Introduced diaphragmatic breathing; reviewed sleep diary — modest improvement.</w:t>
            </w:r>
          </w:p>
        </w:tc>
      </w:tr>
      <w:tr>
        <w:tc>
          <w:tcPr>
            <w:tcW w:type="dxa" w:w="1440"/>
          </w:tcPr>
          <w:p>
            <w:r>
              <w:t>03/03/2026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50 min</w:t>
            </w:r>
          </w:p>
        </w:tc>
        <w:tc>
          <w:tcPr>
            <w:tcW w:type="dxa" w:w="1440"/>
          </w:tcPr>
          <w:p>
            <w:r>
              <w:t>In person</w:t>
            </w:r>
          </w:p>
        </w:tc>
        <w:tc>
          <w:tcPr>
            <w:tcW w:type="dxa" w:w="1440"/>
          </w:tcPr>
          <w:p>
            <w:r>
              <w:t>Attended</w:t>
            </w:r>
          </w:p>
        </w:tc>
        <w:tc>
          <w:tcPr>
            <w:tcW w:type="dxa" w:w="1440"/>
          </w:tcPr>
          <w:p>
            <w:r>
              <w:t>Began graded exposure hierarchy for warehouse floor exposure.</w:t>
            </w:r>
          </w:p>
        </w:tc>
      </w:tr>
      <w:tr>
        <w:tc>
          <w:tcPr>
            <w:tcW w:type="dxa" w:w="1440"/>
          </w:tcPr>
          <w:p>
            <w:r>
              <w:t>10/03/2026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50 min</w:t>
            </w:r>
          </w:p>
        </w:tc>
        <w:tc>
          <w:tcPr>
            <w:tcW w:type="dxa" w:w="1440"/>
          </w:tcPr>
          <w:p>
            <w:r>
              <w:t>In person</w:t>
            </w:r>
          </w:p>
        </w:tc>
        <w:tc>
          <w:tcPr>
            <w:tcW w:type="dxa" w:w="1440"/>
          </w:tcPr>
          <w:p>
            <w:r>
              <w:t>Cancelled — client unwell</w:t>
            </w:r>
          </w:p>
        </w:tc>
        <w:tc>
          <w:tcPr>
            <w:tcW w:type="dxa" w:w="1440"/>
          </w:tcPr>
          <w:p>
            <w:r>
              <w:t>N/A</w:t>
            </w:r>
          </w:p>
        </w:tc>
      </w:tr>
      <w:tr>
        <w:tc>
          <w:tcPr>
            <w:tcW w:type="dxa" w:w="1440"/>
          </w:tcPr>
          <w:p>
            <w:r>
              <w:t>17/03/2026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50 min</w:t>
            </w:r>
          </w:p>
        </w:tc>
        <w:tc>
          <w:tcPr>
            <w:tcW w:type="dxa" w:w="1440"/>
          </w:tcPr>
          <w:p>
            <w:r>
              <w:t>In person</w:t>
            </w:r>
          </w:p>
        </w:tc>
        <w:tc>
          <w:tcPr>
            <w:tcW w:type="dxa" w:w="1440"/>
          </w:tcPr>
          <w:p>
            <w:r>
              <w:t>Attended</w:t>
            </w:r>
          </w:p>
        </w:tc>
        <w:tc>
          <w:tcPr>
            <w:tcW w:type="dxa" w:w="1440"/>
          </w:tcPr>
          <w:p>
            <w:r>
              <w:t>Exposure step 1 completed (observed floor from office window) with reducing SUDS 8→4.</w:t>
            </w:r>
          </w:p>
        </w:tc>
      </w:tr>
    </w:tbl>
    <w:p/>
    <w:p>
      <w:pPr>
        <w:pStyle w:val="Heading2"/>
      </w:pPr>
      <w:r>
        <w:t>Standardised Measures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160"/>
          </w:tcPr>
          <w:p>
            <w:r>
              <w:t>DASS-21 (Depression)</w:t>
            </w:r>
          </w:p>
        </w:tc>
        <w:tc>
          <w:tcPr>
            <w:tcW w:type="dxa" w:w="2160"/>
          </w:tcPr>
          <w:p>
            <w:r>
              <w:t>10/02/2026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  <w:tr>
        <w:tc>
          <w:tcPr>
            <w:tcW w:type="dxa" w:w="2160"/>
          </w:tcPr>
          <w:p>
            <w:r>
              <w:t>DASS-21 (Anxiety)</w:t>
            </w:r>
          </w:p>
        </w:tc>
        <w:tc>
          <w:tcPr>
            <w:tcW w:type="dxa" w:w="2160"/>
          </w:tcPr>
          <w:p>
            <w:r>
              <w:t>10/02/2026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  <w:tr>
        <w:tc>
          <w:tcPr>
            <w:tcW w:type="dxa" w:w="2160"/>
          </w:tcPr>
          <w:p>
            <w:r>
              <w:t>DASS-21 (Stress)</w:t>
            </w:r>
          </w:p>
        </w:tc>
        <w:tc>
          <w:tcPr>
            <w:tcW w:type="dxa" w:w="2160"/>
          </w:tcPr>
          <w:p>
            <w:r>
              <w:t>10/02/2026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Severe</w:t>
            </w:r>
          </w:p>
        </w:tc>
      </w:tr>
      <w:tr>
        <w:tc>
          <w:tcPr>
            <w:tcW w:type="dxa" w:w="2160"/>
          </w:tcPr>
          <w:p>
            <w:r>
              <w:t>DASS-21 (Depression)</w:t>
            </w:r>
          </w:p>
        </w:tc>
        <w:tc>
          <w:tcPr>
            <w:tcW w:type="dxa" w:w="2160"/>
          </w:tcPr>
          <w:p>
            <w:r>
              <w:t>17/03/2026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Mild</w:t>
            </w:r>
          </w:p>
        </w:tc>
      </w:tr>
      <w:tr>
        <w:tc>
          <w:tcPr>
            <w:tcW w:type="dxa" w:w="2160"/>
          </w:tcPr>
          <w:p>
            <w:r>
              <w:t>DASS-21 (Anxiety)</w:t>
            </w:r>
          </w:p>
        </w:tc>
        <w:tc>
          <w:tcPr>
            <w:tcW w:type="dxa" w:w="2160"/>
          </w:tcPr>
          <w:p>
            <w:r>
              <w:t>17/03/2026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Mild</w:t>
            </w:r>
          </w:p>
        </w:tc>
      </w:tr>
      <w:tr>
        <w:tc>
          <w:tcPr>
            <w:tcW w:type="dxa" w:w="2160"/>
          </w:tcPr>
          <w:p>
            <w:r>
              <w:t>DASS-21 (Stress)</w:t>
            </w:r>
          </w:p>
        </w:tc>
        <w:tc>
          <w:tcPr>
            <w:tcW w:type="dxa" w:w="2160"/>
          </w:tcPr>
          <w:p>
            <w:r>
              <w:t>17/03/2026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</w:tr>
      <w:tr>
        <w:tc>
          <w:tcPr>
            <w:tcW w:type="dxa" w:w="2160"/>
          </w:tcPr>
          <w:p>
            <w:r>
              <w:t>PCL-5 (PTSD checklist)</w:t>
            </w:r>
          </w:p>
        </w:tc>
        <w:tc>
          <w:tcPr>
            <w:tcW w:type="dxa" w:w="2160"/>
          </w:tcPr>
          <w:p>
            <w:r>
              <w:t>10/02/2026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Above clinical cutoff</w:t>
            </w:r>
          </w:p>
        </w:tc>
      </w:tr>
      <w:tr>
        <w:tc>
          <w:tcPr>
            <w:tcW w:type="dxa" w:w="2160"/>
          </w:tcPr>
          <w:p>
            <w:r>
              <w:t>PCL-5 (PTSD checklist)</w:t>
            </w:r>
          </w:p>
        </w:tc>
        <w:tc>
          <w:tcPr>
            <w:tcW w:type="dxa" w:w="2160"/>
          </w:tcPr>
          <w:p>
            <w:r>
              <w:t>17/03/2026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Below clinical cutoff</w:t>
            </w:r>
          </w:p>
        </w:tc>
      </w:tr>
    </w:tbl>
    <w:p/>
    <w:p>
      <w:pPr>
        <w:pStyle w:val="Heading2"/>
      </w:pPr>
      <w:r>
        <w:t>Treatment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Intervention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Progress</w:t>
            </w:r>
          </w:p>
        </w:tc>
      </w:tr>
      <w:tr>
        <w:tc>
          <w:tcPr>
            <w:tcW w:type="dxa" w:w="2880"/>
          </w:tcPr>
          <w:p>
            <w:r>
              <w:t>Reduce intrusive memories to &lt;1/week</w:t>
            </w:r>
          </w:p>
        </w:tc>
        <w:tc>
          <w:tcPr>
            <w:tcW w:type="dxa" w:w="2880"/>
          </w:tcPr>
          <w:p>
            <w:r>
              <w:t>Trauma-focused CBT, imaginal exposure</w:t>
            </w:r>
          </w:p>
        </w:tc>
        <w:tc>
          <w:tcPr>
            <w:tcW w:type="dxa" w:w="2880"/>
          </w:tcPr>
          <w:p>
            <w:r>
              <w:t>Reduced from 3–4/week to ~1/week</w:t>
            </w:r>
          </w:p>
        </w:tc>
      </w:tr>
      <w:tr>
        <w:tc>
          <w:tcPr>
            <w:tcW w:type="dxa" w:w="2880"/>
          </w:tcPr>
          <w:p>
            <w:r>
              <w:t>Return to full warehouse-floor duties</w:t>
            </w:r>
          </w:p>
        </w:tc>
        <w:tc>
          <w:tcPr>
            <w:tcW w:type="dxa" w:w="2880"/>
          </w:tcPr>
          <w:p>
            <w:r>
              <w:t>Graded in-vivo exposure hierarchy</w:t>
            </w:r>
          </w:p>
        </w:tc>
        <w:tc>
          <w:tcPr>
            <w:tcW w:type="dxa" w:w="2880"/>
          </w:tcPr>
          <w:p>
            <w:r>
              <w:t>Step 1 of 6 completed</w:t>
            </w:r>
          </w:p>
        </w:tc>
      </w:tr>
      <w:tr>
        <w:tc>
          <w:tcPr>
            <w:tcW w:type="dxa" w:w="2880"/>
          </w:tcPr>
          <w:p>
            <w:r>
              <w:t>Improve sleep onset to &lt;30 min</w:t>
            </w:r>
          </w:p>
        </w:tc>
        <w:tc>
          <w:tcPr>
            <w:tcW w:type="dxa" w:w="2880"/>
          </w:tcPr>
          <w:p>
            <w:r>
              <w:t>Sleep hygiene, stimulus control, reduced evening caffeine</w:t>
            </w:r>
          </w:p>
        </w:tc>
        <w:tc>
          <w:tcPr>
            <w:tcW w:type="dxa" w:w="2880"/>
          </w:tcPr>
          <w:p>
            <w:r>
              <w:t>Sleep onset improved to ~35 min</w:t>
            </w:r>
          </w:p>
        </w:tc>
      </w:tr>
      <w:tr>
        <w:tc>
          <w:tcPr>
            <w:tcW w:type="dxa" w:w="2880"/>
          </w:tcPr>
          <w:p>
            <w:r>
              <w:t>Reduce alcohol to &lt;4 standard drinks/week</w:t>
            </w:r>
          </w:p>
        </w:tc>
        <w:tc>
          <w:tcPr>
            <w:tcW w:type="dxa" w:w="2880"/>
          </w:tcPr>
          <w:p>
            <w:r>
              <w:t>Motivational interviewing, self-monitoring diary</w:t>
            </w:r>
          </w:p>
        </w:tc>
        <w:tc>
          <w:tcPr>
            <w:tcW w:type="dxa" w:w="2880"/>
          </w:tcPr>
          <w:p>
            <w:r>
              <w:t>Reduced to ~5/week</w:t>
            </w:r>
          </w:p>
        </w:tc>
      </w:tr>
    </w:tbl>
    <w:p/>
    <w:p>
      <w:pPr>
        <w:pStyle w:val="Heading2"/>
      </w:pPr>
      <w:r>
        <w:t>Clinician Impression</w:t>
      </w:r>
    </w:p>
    <w:p>
      <w:r>
        <w:t>Client is engaging well with treatment and demonstrating a clear reduction in trauma-related symptoms across both standardised measures and session-report. Continues to benefit from graded exposure; plan to progress to step 2 of the warehouse-floor hierarchy (brief supervised entry with a colleague present) at next session. No risk concerns identified at this time. Recommend continuing under the current Mental Health Care Plan with a review letter to the referring GP prior to session 6 rebate exhaustion.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