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Treatment Plan Review — Correspondence to Referrer</w:t>
      </w:r>
    </w:p>
    <w:tbl>
      <w:tblPr>
        <w:tblStyle w:val="TableGrid"/>
        <w:tblW w:type="auto" w:w="0"/>
        <w:tblLook w:firstColumn="1" w:firstRow="1" w:lastColumn="0" w:lastRow="0" w:noHBand="0" w:noVBand="1" w:val="04A0"/>
      </w:tblPr>
      <w:tblGrid>
        <w:gridCol w:w="4320"/>
        <w:gridCol w:w="4320"/>
      </w:tblGrid>
      <w:tr>
        <w:tc>
          <w:tcPr>
            <w:tcW w:type="dxa" w:w="4320"/>
          </w:tcPr>
          <w:p>
            <w:r>
              <w:t>Client</w:t>
            </w:r>
          </w:p>
        </w:tc>
        <w:tc>
          <w:tcPr>
            <w:tcW w:type="dxa" w:w="4320"/>
          </w:tcPr>
          <w:p>
            <w:r>
              <w:t>Jordan Elliot Whitfield</w:t>
            </w:r>
          </w:p>
        </w:tc>
      </w:tr>
      <w:tr>
        <w:tc>
          <w:tcPr>
            <w:tcW w:type="dxa" w:w="4320"/>
          </w:tcPr>
          <w:p>
            <w:r>
              <w:t>DOB</w:t>
            </w:r>
          </w:p>
        </w:tc>
        <w:tc>
          <w:tcPr>
            <w:tcW w:type="dxa" w:w="4320"/>
          </w:tcPr>
          <w:p>
            <w:r>
              <w:t>12/04/1985</w:t>
            </w:r>
          </w:p>
        </w:tc>
      </w:tr>
      <w:tr>
        <w:tc>
          <w:tcPr>
            <w:tcW w:type="dxa" w:w="4320"/>
          </w:tcPr>
          <w:p>
            <w:r>
              <w:t>Review date</w:t>
            </w:r>
          </w:p>
        </w:tc>
        <w:tc>
          <w:tcPr>
            <w:tcW w:type="dxa" w:w="4320"/>
          </w:tcPr>
          <w:p>
            <w:r>
              <w:t>17 March 2026</w:t>
            </w:r>
          </w:p>
        </w:tc>
      </w:tr>
      <w:tr>
        <w:tc>
          <w:tcPr>
            <w:tcW w:type="dxa" w:w="4320"/>
          </w:tcPr>
          <w:p>
            <w:r>
              <w:t>Sessions completed</w:t>
            </w:r>
          </w:p>
        </w:tc>
        <w:tc>
          <w:tcPr>
            <w:tcW w:type="dxa" w:w="4320"/>
          </w:tcPr>
          <w:p>
            <w:r>
              <w:t>5 of 6 (1 cancelled, rebooked)</w:t>
            </w:r>
          </w:p>
        </w:tc>
      </w:tr>
      <w:tr>
        <w:tc>
          <w:tcPr>
            <w:tcW w:type="dxa" w:w="4320"/>
          </w:tcPr>
          <w:p>
            <w:r>
              <w:t>Referring GP</w:t>
            </w:r>
          </w:p>
        </w:tc>
        <w:tc>
          <w:tcPr>
            <w:tcW w:type="dxa" w:w="4320"/>
          </w:tcPr>
          <w:p>
            <w:r>
              <w:t>Dr. Susan Ng</w:t>
            </w:r>
          </w:p>
        </w:tc>
      </w:tr>
      <w:tr>
        <w:tc>
          <w:tcPr>
            <w:tcW w:type="dxa" w:w="4320"/>
          </w:tcPr>
          <w:p>
            <w:r>
              <w:t>Next review due</w:t>
            </w:r>
          </w:p>
        </w:tc>
        <w:tc>
          <w:tcPr>
            <w:tcW w:type="dxa" w:w="4320"/>
          </w:tcPr>
          <w:p>
            <w:r>
              <w:t>After session 6, prior to further MHCP referral</w:t>
            </w:r>
          </w:p>
        </w:tc>
      </w:tr>
    </w:tbl>
    <w:p/>
    <w:p>
      <w:pPr>
        <w:pStyle w:val="Heading2"/>
      </w:pPr>
      <w:r>
        <w:t>Summary of Treatment to Date</w:t>
      </w:r>
    </w:p>
    <w:p>
      <w:r>
        <w:t>Mr Whitfield has attended 5 of 6 funded sessions under his current Mental Health Care Plan, engaging in trauma-focused CBT with graded exposure for an adjustment disorder with mixed anxiety and depressed mood following a workplace near-miss in October 2025. Treatment has focused on psychoeducation, sleep hygiene, diaphragmatic breathing, and a graded in-vivo exposure hierarchy targeting avoidance of the warehouse floor.</w:t>
      </w:r>
    </w:p>
    <w:p>
      <w:pPr>
        <w:pStyle w:val="Heading2"/>
      </w:pPr>
      <w:r>
        <w:t>Outcome Measures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Baseline (10/02/2026)</w:t>
            </w:r>
          </w:p>
        </w:tc>
        <w:tc>
          <w:tcPr>
            <w:tcW w:type="dxa" w:w="2160"/>
          </w:tcPr>
          <w:p>
            <w:r>
              <w:rPr>
                <w:b/>
              </w:rPr>
              <w:t>Current (17/03/2026)</w:t>
            </w:r>
          </w:p>
        </w:tc>
        <w:tc>
          <w:tcPr>
            <w:tcW w:type="dxa" w:w="2160"/>
          </w:tcPr>
          <w:p>
            <w:r>
              <w:rPr>
                <w:b/>
              </w:rPr>
              <w:t>Change</w:t>
            </w:r>
          </w:p>
        </w:tc>
      </w:tr>
      <w:tr>
        <w:tc>
          <w:tcPr>
            <w:tcW w:type="dxa" w:w="2160"/>
          </w:tcPr>
          <w:p>
            <w:r>
              <w:t>DASS-21 Depression</w:t>
            </w:r>
          </w:p>
        </w:tc>
        <w:tc>
          <w:tcPr>
            <w:tcW w:type="dxa" w:w="2160"/>
          </w:tcPr>
          <w:p>
            <w:r>
              <w:t>18 (Moderate)</w:t>
            </w:r>
          </w:p>
        </w:tc>
        <w:tc>
          <w:tcPr>
            <w:tcW w:type="dxa" w:w="2160"/>
          </w:tcPr>
          <w:p>
            <w:r>
              <w:t>10 (Mild)</w:t>
            </w:r>
          </w:p>
        </w:tc>
        <w:tc>
          <w:tcPr>
            <w:tcW w:type="dxa" w:w="2160"/>
          </w:tcPr>
          <w:p>
            <w:r>
              <w:t>Improved</w:t>
            </w:r>
          </w:p>
        </w:tc>
      </w:tr>
      <w:tr>
        <w:tc>
          <w:tcPr>
            <w:tcW w:type="dxa" w:w="2160"/>
          </w:tcPr>
          <w:p>
            <w:r>
              <w:t>DASS-21 Anxiety</w:t>
            </w:r>
          </w:p>
        </w:tc>
        <w:tc>
          <w:tcPr>
            <w:tcW w:type="dxa" w:w="2160"/>
          </w:tcPr>
          <w:p>
            <w:r>
              <w:t>16 (Moderate)</w:t>
            </w:r>
          </w:p>
        </w:tc>
        <w:tc>
          <w:tcPr>
            <w:tcW w:type="dxa" w:w="2160"/>
          </w:tcPr>
          <w:p>
            <w:r>
              <w:t>9 (Mild)</w:t>
            </w:r>
          </w:p>
        </w:tc>
        <w:tc>
          <w:tcPr>
            <w:tcW w:type="dxa" w:w="2160"/>
          </w:tcPr>
          <w:p>
            <w:r>
              <w:t>Improved</w:t>
            </w:r>
          </w:p>
        </w:tc>
      </w:tr>
      <w:tr>
        <w:tc>
          <w:tcPr>
            <w:tcW w:type="dxa" w:w="2160"/>
          </w:tcPr>
          <w:p>
            <w:r>
              <w:t>DASS-21 Stress</w:t>
            </w:r>
          </w:p>
        </w:tc>
        <w:tc>
          <w:tcPr>
            <w:tcW w:type="dxa" w:w="2160"/>
          </w:tcPr>
          <w:p>
            <w:r>
              <w:t>22 (Severe)</w:t>
            </w:r>
          </w:p>
        </w:tc>
        <w:tc>
          <w:tcPr>
            <w:tcW w:type="dxa" w:w="2160"/>
          </w:tcPr>
          <w:p>
            <w:r>
              <w:t>12 (Moderate)</w:t>
            </w:r>
          </w:p>
        </w:tc>
        <w:tc>
          <w:tcPr>
            <w:tcW w:type="dxa" w:w="2160"/>
          </w:tcPr>
          <w:p>
            <w:r>
              <w:t>Improved</w:t>
            </w:r>
          </w:p>
        </w:tc>
      </w:tr>
      <w:tr>
        <w:tc>
          <w:tcPr>
            <w:tcW w:type="dxa" w:w="2160"/>
          </w:tcPr>
          <w:p>
            <w:r>
              <w:t>PCL-5</w:t>
            </w:r>
          </w:p>
        </w:tc>
        <w:tc>
          <w:tcPr>
            <w:tcW w:type="dxa" w:w="2160"/>
          </w:tcPr>
          <w:p>
            <w:r>
              <w:t>39 (above cutoff)</w:t>
            </w:r>
          </w:p>
        </w:tc>
        <w:tc>
          <w:tcPr>
            <w:tcW w:type="dxa" w:w="2160"/>
          </w:tcPr>
          <w:p>
            <w:r>
              <w:t>24 (below cutoff)</w:t>
            </w:r>
          </w:p>
        </w:tc>
        <w:tc>
          <w:tcPr>
            <w:tcW w:type="dxa" w:w="2160"/>
          </w:tcPr>
          <w:p>
            <w:r>
              <w:t>Improved — below clinical cutoff</w:t>
            </w:r>
          </w:p>
        </w:tc>
      </w:tr>
    </w:tbl>
    <w:p/>
    <w:p>
      <w:pPr>
        <w:pStyle w:val="Heading2"/>
      </w:pPr>
      <w:r>
        <w:t>Risk Review</w:t>
      </w:r>
    </w:p>
    <w:p>
      <w:r>
        <w:t>No current suicidal ideation, self-harm, or risk to others identified. Passive ideation reported at intake (December 2025, prior to treatment) has not recurred. Occupational hypervigilance persists but is reducing in line with exposure progress.</w:t>
      </w:r>
    </w:p>
    <w:p>
      <w:pPr>
        <w:pStyle w:val="Heading2"/>
      </w:pPr>
      <w:r>
        <w:t>Recommendations</w:t>
      </w:r>
    </w:p>
    <w:p>
      <w:r>
        <w:t>Recommend a further course of treatment (additional Mental Health Care Plan sessions) to complete the exposure hierarchy and consolidate gains, with an anticipated further 4–6 sessions. Client is motivated and prognosis is good given response to date. Will provide a further review at completion of the exposure hierarchy or in 8 weeks, whichever is sooner.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