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Discharge Summary — Merri Creek District Hospital</w:t>
      </w:r>
    </w:p>
    <w:p>
      <w:r>
        <w:t>210 Sydney Road, Coburg VIC 3058  |  Ph: (03) 5551 7700  |  Fax: (03) 5551 7701</w:t>
      </w:r>
    </w:p>
    <w:p/>
    <w:p>
      <w:pPr>
        <w:pStyle w:val="Heading2"/>
      </w:pPr>
      <w:r>
        <w:t>Patient Details</w:t>
      </w:r>
    </w:p>
    <w:tbl>
      <w:tblPr>
        <w:tblStyle w:val="TableGrid"/>
        <w:tblW w:type="auto" w:w="0"/>
        <w:tblLook w:firstColumn="1" w:firstRow="1" w:lastColumn="0" w:lastRow="0" w:noHBand="0" w:noVBand="1" w:val="04A0"/>
      </w:tblPr>
      <w:tblGrid>
        <w:gridCol w:w="4320"/>
        <w:gridCol w:w="4320"/>
      </w:tblGrid>
      <w:tr>
        <w:tc>
          <w:tcPr>
            <w:tcW w:type="dxa" w:w="4320"/>
          </w:tcPr>
          <w:p>
            <w:r>
              <w:t>Full name</w:t>
            </w:r>
          </w:p>
        </w:tc>
        <w:tc>
          <w:tcPr>
            <w:tcW w:type="dxa" w:w="4320"/>
          </w:tcPr>
          <w:p>
            <w:r>
              <w:t>Jordan Elliot Whitfield</w:t>
            </w:r>
          </w:p>
        </w:tc>
      </w:tr>
      <w:tr>
        <w:tc>
          <w:tcPr>
            <w:tcW w:type="dxa" w:w="4320"/>
          </w:tcPr>
          <w:p>
            <w:r>
              <w:t>Date of birth</w:t>
            </w:r>
          </w:p>
        </w:tc>
        <w:tc>
          <w:tcPr>
            <w:tcW w:type="dxa" w:w="4320"/>
          </w:tcPr>
          <w:p>
            <w:r>
              <w:t>12/04/1985</w:t>
            </w:r>
          </w:p>
        </w:tc>
      </w:tr>
      <w:tr>
        <w:tc>
          <w:tcPr>
            <w:tcW w:type="dxa" w:w="4320"/>
          </w:tcPr>
          <w:p>
            <w:r>
              <w:t>Medicare number</w:t>
            </w:r>
          </w:p>
        </w:tc>
        <w:tc>
          <w:tcPr>
            <w:tcW w:type="dxa" w:w="4320"/>
          </w:tcPr>
          <w:p>
            <w:r>
              <w:t>2934 5671 0</w:t>
            </w:r>
          </w:p>
        </w:tc>
      </w:tr>
      <w:tr>
        <w:tc>
          <w:tcPr>
            <w:tcW w:type="dxa" w:w="4320"/>
          </w:tcPr>
          <w:p>
            <w:r>
              <w:t>UR number</w:t>
            </w:r>
          </w:p>
        </w:tc>
        <w:tc>
          <w:tcPr>
            <w:tcW w:type="dxa" w:w="4320"/>
          </w:tcPr>
          <w:p>
            <w:r>
              <w:t>MCDH-410287</w:t>
            </w:r>
          </w:p>
        </w:tc>
      </w:tr>
      <w:tr>
        <w:tc>
          <w:tcPr>
            <w:tcW w:type="dxa" w:w="4320"/>
          </w:tcPr>
          <w:p>
            <w:r>
              <w:t>Address</w:t>
            </w:r>
          </w:p>
        </w:tc>
        <w:tc>
          <w:tcPr>
            <w:tcW w:type="dxa" w:w="4320"/>
          </w:tcPr>
          <w:p>
            <w:r>
              <w:t>45 Kestrel Ave, Coburg VIC 3058</w:t>
            </w:r>
          </w:p>
        </w:tc>
      </w:tr>
      <w:tr>
        <w:tc>
          <w:tcPr>
            <w:tcW w:type="dxa" w:w="4320"/>
          </w:tcPr>
          <w:p>
            <w:r>
              <w:t>Admission date</w:t>
            </w:r>
          </w:p>
        </w:tc>
        <w:tc>
          <w:tcPr>
            <w:tcW w:type="dxa" w:w="4320"/>
          </w:tcPr>
          <w:p>
            <w:r>
              <w:t>14 October 2025</w:t>
            </w:r>
          </w:p>
        </w:tc>
      </w:tr>
      <w:tr>
        <w:tc>
          <w:tcPr>
            <w:tcW w:type="dxa" w:w="4320"/>
          </w:tcPr>
          <w:p>
            <w:r>
              <w:t>Discharge date</w:t>
            </w:r>
          </w:p>
        </w:tc>
        <w:tc>
          <w:tcPr>
            <w:tcW w:type="dxa" w:w="4320"/>
          </w:tcPr>
          <w:p>
            <w:r>
              <w:t>16 October 2025</w:t>
            </w:r>
          </w:p>
        </w:tc>
      </w:tr>
      <w:tr>
        <w:tc>
          <w:tcPr>
            <w:tcW w:type="dxa" w:w="4320"/>
          </w:tcPr>
          <w:p>
            <w:r>
              <w:t>Admitting unit</w:t>
            </w:r>
          </w:p>
        </w:tc>
        <w:tc>
          <w:tcPr>
            <w:tcW w:type="dxa" w:w="4320"/>
          </w:tcPr>
          <w:p>
            <w:r>
              <w:t>Emergency / Orthopaedics (short-stay)</w:t>
            </w:r>
          </w:p>
        </w:tc>
      </w:tr>
      <w:tr>
        <w:tc>
          <w:tcPr>
            <w:tcW w:type="dxa" w:w="4320"/>
          </w:tcPr>
          <w:p>
            <w:r>
              <w:t>Treating consultant</w:t>
            </w:r>
          </w:p>
        </w:tc>
        <w:tc>
          <w:tcPr>
            <w:tcW w:type="dxa" w:w="4320"/>
          </w:tcPr>
          <w:p>
            <w:r>
              <w:t>Dr. Farid Kassab, Orthopaedic Registrar</w:t>
            </w:r>
          </w:p>
        </w:tc>
      </w:tr>
      <w:tr>
        <w:tc>
          <w:tcPr>
            <w:tcW w:type="dxa" w:w="4320"/>
          </w:tcPr>
          <w:p>
            <w:r>
              <w:t>GP copied</w:t>
            </w:r>
          </w:p>
        </w:tc>
        <w:tc>
          <w:tcPr>
            <w:tcW w:type="dxa" w:w="4320"/>
          </w:tcPr>
          <w:p>
            <w:r>
              <w:t>Dr. Susan Ng, Riverside Family Medical Practice</w:t>
            </w:r>
          </w:p>
        </w:tc>
      </w:tr>
    </w:tbl>
    <w:p/>
    <w:p>
      <w:pPr>
        <w:pStyle w:val="Heading2"/>
      </w:pPr>
      <w:r>
        <w:t>Presenting Complaint</w:t>
      </w:r>
    </w:p>
    <w:p>
      <w:r>
        <w:t>Mr Whitfield presented to the Emergency Department via ambulance following a workplace incident at Coburg Logistics Pty Ltd on 14 October 2025, where he stepped back sharply to avoid a reversing forklift being operated by a colleague and fell against a steel shelving unit. He sustained a closed injury to the right wrist and superficial lacerations to the right forearm. No loss of consciousness and no head injury. He was visibly shaken in the department and reported his heart 'racing' for over an hour afterwards, with intrusive replaying of the near-miss.</w:t>
      </w:r>
    </w:p>
    <w:p>
      <w:pPr>
        <w:pStyle w:val="Heading2"/>
      </w:pPr>
      <w:r>
        <w:t>Medications Changed on Discharge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Medication</w:t>
            </w:r>
          </w:p>
        </w:tc>
        <w:tc>
          <w:tcPr>
            <w:tcW w:type="dxa" w:w="2160"/>
          </w:tcPr>
          <w:p>
            <w:r>
              <w:rPr>
                <w:b/>
              </w:rPr>
              <w:t>Prior dose</w:t>
            </w:r>
          </w:p>
        </w:tc>
        <w:tc>
          <w:tcPr>
            <w:tcW w:type="dxa" w:w="2160"/>
          </w:tcPr>
          <w:p>
            <w:r>
              <w:rPr>
                <w:b/>
              </w:rPr>
              <w:t>New dose</w:t>
            </w:r>
          </w:p>
        </w:tc>
        <w:tc>
          <w:tcPr>
            <w:tcW w:type="dxa" w:w="2160"/>
          </w:tcPr>
          <w:p>
            <w:r>
              <w:rPr>
                <w:b/>
              </w:rPr>
              <w:t>Reason</w:t>
            </w:r>
          </w:p>
        </w:tc>
      </w:tr>
      <w:tr>
        <w:tc>
          <w:tcPr>
            <w:tcW w:type="dxa" w:w="2160"/>
          </w:tcPr>
          <w:p>
            <w:r>
              <w:t>Paracetamol</w:t>
            </w:r>
          </w:p>
        </w:tc>
        <w:tc>
          <w:tcPr>
            <w:tcW w:type="dxa" w:w="2160"/>
          </w:tcPr>
          <w:p>
            <w:r>
              <w:t>Nil</w:t>
            </w:r>
          </w:p>
        </w:tc>
        <w:tc>
          <w:tcPr>
            <w:tcW w:type="dxa" w:w="2160"/>
          </w:tcPr>
          <w:p>
            <w:r>
              <w:t>1 g PO QID PRN</w:t>
            </w:r>
          </w:p>
        </w:tc>
        <w:tc>
          <w:tcPr>
            <w:tcW w:type="dxa" w:w="2160"/>
          </w:tcPr>
          <w:p>
            <w:r>
              <w:t>Post-fracture analgesia</w:t>
            </w:r>
          </w:p>
        </w:tc>
      </w:tr>
      <w:tr>
        <w:tc>
          <w:tcPr>
            <w:tcW w:type="dxa" w:w="2160"/>
          </w:tcPr>
          <w:p>
            <w:r>
              <w:t>Oxycodone IR (Endone)</w:t>
            </w:r>
          </w:p>
        </w:tc>
        <w:tc>
          <w:tcPr>
            <w:tcW w:type="dxa" w:w="2160"/>
          </w:tcPr>
          <w:p>
            <w:r>
              <w:t>Nil</w:t>
            </w:r>
          </w:p>
        </w:tc>
        <w:tc>
          <w:tcPr>
            <w:tcW w:type="dxa" w:w="2160"/>
          </w:tcPr>
          <w:p>
            <w:r>
              <w:t>5 mg PO 4–6 hourly PRN, max 5 days</w:t>
            </w:r>
          </w:p>
        </w:tc>
        <w:tc>
          <w:tcPr>
            <w:tcW w:type="dxa" w:w="2160"/>
          </w:tcPr>
          <w:p>
            <w:r>
              <w:t>Short-term breakthrough pain; wean before GP review</w:t>
            </w:r>
          </w:p>
        </w:tc>
      </w:tr>
      <w:tr>
        <w:tc>
          <w:tcPr>
            <w:tcW w:type="dxa" w:w="2160"/>
          </w:tcPr>
          <w:p>
            <w:r>
              <w:t>Naproxen</w:t>
            </w:r>
          </w:p>
        </w:tc>
        <w:tc>
          <w:tcPr>
            <w:tcW w:type="dxa" w:w="2160"/>
          </w:tcPr>
          <w:p>
            <w:r>
              <w:t>Nil</w:t>
            </w:r>
          </w:p>
        </w:tc>
        <w:tc>
          <w:tcPr>
            <w:tcW w:type="dxa" w:w="2160"/>
          </w:tcPr>
          <w:p>
            <w:r>
              <w:t>Not commenced — avoided</w:t>
            </w:r>
          </w:p>
        </w:tc>
        <w:tc>
          <w:tcPr>
            <w:tcW w:type="dxa" w:w="2160"/>
          </w:tcPr>
          <w:p>
            <w:r>
              <w:t>NSAID deferred pending orthopaedic review of fracture healing</w:t>
            </w:r>
          </w:p>
        </w:tc>
      </w:tr>
      <w:tr>
        <w:tc>
          <w:tcPr>
            <w:tcW w:type="dxa" w:w="2160"/>
          </w:tcPr>
          <w:p>
            <w:r>
              <w:t>Atorvastatin</w:t>
            </w:r>
          </w:p>
        </w:tc>
        <w:tc>
          <w:tcPr>
            <w:tcW w:type="dxa" w:w="2160"/>
          </w:tcPr>
          <w:p>
            <w:r>
              <w:t>20 mg nocte</w:t>
            </w:r>
          </w:p>
        </w:tc>
        <w:tc>
          <w:tcPr>
            <w:tcW w:type="dxa" w:w="2160"/>
          </w:tcPr>
          <w:p>
            <w:r>
              <w:t>20 mg nocte (unchanged)</w:t>
            </w:r>
          </w:p>
        </w:tc>
        <w:tc>
          <w:tcPr>
            <w:tcW w:type="dxa" w:w="2160"/>
          </w:tcPr>
          <w:p>
            <w:r>
              <w:t>Continue usual dose — no interaction with new analgesia</w:t>
            </w:r>
          </w:p>
        </w:tc>
      </w:tr>
    </w:tbl>
    <w:p/>
    <w:p>
      <w:pPr>
        <w:pStyle w:val="Heading2"/>
      </w:pPr>
      <w:r>
        <w:t>Discharge Diagnosis</w:t>
      </w:r>
    </w:p>
    <w:p>
      <w:r>
        <w:t>1. Closed, minimally displaced fracture of the right distal radius — managed conservatively with a below-elbow backslab; orthopaedic outpatient review in 7–10 days for cast conversion and repeat X-ray. 2. Superficial lacerations, right forearm, closed with sutures — for removal by GP in 7 days. 3. Acute stress reaction following the precipitating workplace incident — settled with reassurance overnight; no evidence of head injury. GP follow-up recommended, with consideration of psychological referral if symptoms of anxiety, sleep disturbance or intrusive memories persist beyond 2–3 weeks.</w:t>
      </w:r>
    </w:p>
    <w:p>
      <w:pPr>
        <w:pStyle w:val="Heading2"/>
      </w:pPr>
      <w:r>
        <w:t>Follow-up Plan</w:t>
      </w:r>
    </w:p>
    <w:p>
      <w:r>
        <w:t>Discharged home with partner (Priya Whitfield) on 16 October 2025 in a stable condition, mobilising independently, right upper limb in backslab with sling. Certified unfit for usual warehouse duties for a minimum of 4 weeks; suitable for modified/office-based duties once cleared by GP. Copy of this summary forwarded to Dr. Susan Ng, Riverside Family Medical Practice, for ongoing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