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Structured Risk Assessment — Northgate Psychology Clinic</w:t>
      </w:r>
    </w:p>
    <w:p>
      <w:r>
        <w:t>8 Derby Street, Pascoe Vale VIC 3044  |  Ph: (03) 5551 3320  |  Fax: (03) 5551 3321</w:t>
      </w:r>
    </w:p>
    <w:p/>
    <w:p>
      <w:pPr>
        <w:pStyle w:val="Heading2"/>
      </w:pPr>
      <w:r>
        <w:t>Client Details</w:t>
      </w:r>
    </w:p>
    <w:tbl>
      <w:tblPr>
        <w:tblStyle w:val="TableGrid"/>
        <w:tblW w:type="auto" w:w="0"/>
        <w:tblLook w:firstColumn="1" w:firstRow="1" w:lastColumn="0" w:lastRow="0" w:noHBand="0" w:noVBand="1" w:val="04A0"/>
      </w:tblPr>
      <w:tblGrid>
        <w:gridCol w:w="4320"/>
        <w:gridCol w:w="4320"/>
      </w:tblGrid>
      <w:tr>
        <w:tc>
          <w:tcPr>
            <w:tcW w:type="dxa" w:w="4320"/>
          </w:tcPr>
          <w:p>
            <w:r>
              <w:t>Full name</w:t>
            </w:r>
          </w:p>
        </w:tc>
        <w:tc>
          <w:tcPr>
            <w:tcW w:type="dxa" w:w="4320"/>
          </w:tcPr>
          <w:p>
            <w:r>
              <w:t>Jordan Elliot Whitfield</w:t>
            </w:r>
          </w:p>
        </w:tc>
      </w:tr>
      <w:tr>
        <w:tc>
          <w:tcPr>
            <w:tcW w:type="dxa" w:w="4320"/>
          </w:tcPr>
          <w:p>
            <w:r>
              <w:t>Date of birth</w:t>
            </w:r>
          </w:p>
        </w:tc>
        <w:tc>
          <w:tcPr>
            <w:tcW w:type="dxa" w:w="4320"/>
          </w:tcPr>
          <w:p>
            <w:r>
              <w:t>12/04/1985</w:t>
            </w:r>
          </w:p>
        </w:tc>
      </w:tr>
      <w:tr>
        <w:tc>
          <w:tcPr>
            <w:tcW w:type="dxa" w:w="4320"/>
          </w:tcPr>
          <w:p>
            <w:r>
              <w:t>Medicare number</w:t>
            </w:r>
          </w:p>
        </w:tc>
        <w:tc>
          <w:tcPr>
            <w:tcW w:type="dxa" w:w="4320"/>
          </w:tcPr>
          <w:p>
            <w:r>
              <w:t>2934 5671 0</w:t>
            </w:r>
          </w:p>
        </w:tc>
      </w:tr>
      <w:tr>
        <w:tc>
          <w:tcPr>
            <w:tcW w:type="dxa" w:w="4320"/>
          </w:tcPr>
          <w:p>
            <w:r>
              <w:t>Assessment date</w:t>
            </w:r>
          </w:p>
        </w:tc>
        <w:tc>
          <w:tcPr>
            <w:tcW w:type="dxa" w:w="4320"/>
          </w:tcPr>
          <w:p>
            <w:r>
              <w:t>10 February 2026</w:t>
            </w:r>
          </w:p>
        </w:tc>
      </w:tr>
      <w:tr>
        <w:tc>
          <w:tcPr>
            <w:tcW w:type="dxa" w:w="4320"/>
          </w:tcPr>
          <w:p>
            <w:r>
              <w:t>Assessing clinician</w:t>
            </w:r>
          </w:p>
        </w:tc>
        <w:tc>
          <w:tcPr>
            <w:tcW w:type="dxa" w:w="4320"/>
          </w:tcPr>
          <w:p>
            <w:r>
              <w:t>Dr. Amelia Ferro, Clinical Psychologist</w:t>
            </w:r>
          </w:p>
        </w:tc>
      </w:tr>
      <w:tr>
        <w:tc>
          <w:tcPr>
            <w:tcW w:type="dxa" w:w="4320"/>
          </w:tcPr>
          <w:p>
            <w:r>
              <w:t>Reason for assessment</w:t>
            </w:r>
          </w:p>
        </w:tc>
        <w:tc>
          <w:tcPr>
            <w:tcW w:type="dxa" w:w="4320"/>
          </w:tcPr>
          <w:p>
            <w:r>
              <w:t>Standard risk screen at initial consultation</w:t>
            </w:r>
          </w:p>
        </w:tc>
      </w:tr>
    </w:tbl>
    <w:p/>
    <w:p>
      <w:pPr>
        <w:pStyle w:val="Heading2"/>
      </w:pPr>
      <w:r>
        <w:t>Risk Domain Ratings</w:t>
      </w:r>
    </w:p>
    <w:tbl>
      <w:tblPr>
        <w:tblStyle w:val="TableGrid"/>
        <w:tblW w:type="auto" w:w="0"/>
        <w:tblLook w:firstColumn="1" w:firstRow="1" w:lastColumn="0" w:lastRow="0" w:noHBand="0" w:noVBand="1" w:val="04A0"/>
      </w:tblPr>
      <w:tblGrid>
        <w:gridCol w:w="4320"/>
        <w:gridCol w:w="4320"/>
      </w:tblGrid>
      <w:tr>
        <w:tc>
          <w:tcPr>
            <w:tcW w:type="dxa" w:w="4320"/>
          </w:tcPr>
          <w:p>
            <w:r>
              <w:t>Self-harm</w:t>
            </w:r>
          </w:p>
        </w:tc>
        <w:tc>
          <w:tcPr>
            <w:tcW w:type="dxa" w:w="4320"/>
          </w:tcPr>
          <w:p>
            <w:r>
              <w:t>Low</w:t>
            </w:r>
          </w:p>
        </w:tc>
      </w:tr>
      <w:tr>
        <w:tc>
          <w:tcPr>
            <w:tcW w:type="dxa" w:w="4320"/>
          </w:tcPr>
          <w:p>
            <w:r>
              <w:t>Suicide</w:t>
            </w:r>
          </w:p>
        </w:tc>
        <w:tc>
          <w:tcPr>
            <w:tcW w:type="dxa" w:w="4320"/>
          </w:tcPr>
          <w:p>
            <w:r>
              <w:t>Low</w:t>
            </w:r>
          </w:p>
        </w:tc>
      </w:tr>
      <w:tr>
        <w:tc>
          <w:tcPr>
            <w:tcW w:type="dxa" w:w="4320"/>
          </w:tcPr>
          <w:p>
            <w:r>
              <w:t>Harm to others</w:t>
            </w:r>
          </w:p>
        </w:tc>
        <w:tc>
          <w:tcPr>
            <w:tcW w:type="dxa" w:w="4320"/>
          </w:tcPr>
          <w:p>
            <w:r>
              <w:t>Nil identified</w:t>
            </w:r>
          </w:p>
        </w:tc>
      </w:tr>
      <w:tr>
        <w:tc>
          <w:tcPr>
            <w:tcW w:type="dxa" w:w="4320"/>
          </w:tcPr>
          <w:p>
            <w:r>
              <w:t>Self-neglect</w:t>
            </w:r>
          </w:p>
        </w:tc>
        <w:tc>
          <w:tcPr>
            <w:tcW w:type="dxa" w:w="4320"/>
          </w:tcPr>
          <w:p>
            <w:r>
              <w:t>Low</w:t>
            </w:r>
          </w:p>
        </w:tc>
      </w:tr>
    </w:tbl>
    <w:p/>
    <w:p>
      <w:pPr>
        <w:pStyle w:val="Heading2"/>
      </w:pPr>
      <w:r>
        <w:t>Self-Harm</w:t>
      </w:r>
    </w:p>
    <w:p>
      <w:r>
        <w:t>No history of self-harm at any age and no current urges or intent reported. Denies any current or historical self-injurious behaviour. No identified means or method. Rated low risk.</w:t>
      </w:r>
    </w:p>
    <w:p>
      <w:pPr>
        <w:pStyle w:val="Heading2"/>
      </w:pPr>
      <w:r>
        <w:t>Suicide</w:t>
      </w:r>
    </w:p>
    <w:p>
      <w:r>
        <w:t>Reports brief passive ideation ('not wanting to wake up') during the worst week of symptoms in early December 2025, with no plan, no intent and no access to means identified at the time. No history of prior attempts. Ideation resolved alongside improved sleep and has not recurred; denies any current ideation, plan or intent on interview today. Protective factors include a stable marriage, supportive spouse, two young children, an engaged employer, and good insight. Rated low risk.</w:t>
      </w:r>
    </w:p>
    <w:p>
      <w:pPr>
        <w:pStyle w:val="Heading2"/>
      </w:pPr>
      <w:r>
        <w:t>Harm to Others</w:t>
      </w:r>
    </w:p>
    <w:p>
      <w:r>
        <w:t>No history of violence, aggression or threatening behaviour. Denies any current thoughts of harming others and denies access to weapons. Some increased irritability noted by his partner is assessed as consistent with adjustment symptoms rather than a risk indicator. Rated nil identified risk.</w:t>
      </w:r>
    </w:p>
    <w:p>
      <w:pPr>
        <w:pStyle w:val="Heading2"/>
      </w:pPr>
      <w:r>
        <w:t>Self-Neglect</w:t>
      </w:r>
    </w:p>
    <w:p>
      <w:r>
        <w:t>Self-care, hygiene, nutrition and household responsibilities remain at a normal level. Continues to attend work on modified duties and manage day-to-day responsibilities. Has paused his usual weekend football but reports this is by choice rather than inability to function. No concerns regarding capacity for self-care. Rated low risk.</w:t>
      </w:r>
    </w:p>
    <w:p/>
    <w:p>
      <w:pPr>
        <w:pStyle w:val="Heading2"/>
      </w:pPr>
      <w:r>
        <w:t>Safety Plan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Detail</w:t>
            </w:r>
          </w:p>
        </w:tc>
      </w:tr>
      <w:tr>
        <w:tc>
          <w:tcPr>
            <w:tcW w:type="dxa" w:w="4320"/>
          </w:tcPr>
          <w:p>
            <w:r>
              <w:t>Warning signs</w:t>
            </w:r>
          </w:p>
        </w:tc>
        <w:tc>
          <w:tcPr>
            <w:tcW w:type="dxa" w:w="4320"/>
          </w:tcPr>
          <w:p>
            <w:r>
              <w:t>Sleep onset over 60 minutes for 3+ nights running; increased intrusive memories; withdrawing from Priya and the children</w:t>
            </w:r>
          </w:p>
        </w:tc>
      </w:tr>
      <w:tr>
        <w:tc>
          <w:tcPr>
            <w:tcW w:type="dxa" w:w="4320"/>
          </w:tcPr>
          <w:p>
            <w:r>
              <w:t>Internal coping strategies</w:t>
            </w:r>
          </w:p>
        </w:tc>
        <w:tc>
          <w:tcPr>
            <w:tcW w:type="dxa" w:w="4320"/>
          </w:tcPr>
          <w:p>
            <w:r>
              <w:t>Diaphragmatic breathing (as taught in session); short walk; journalling</w:t>
            </w:r>
          </w:p>
        </w:tc>
      </w:tr>
      <w:tr>
        <w:tc>
          <w:tcPr>
            <w:tcW w:type="dxa" w:w="4320"/>
          </w:tcPr>
          <w:p>
            <w:r>
              <w:t>Social contacts for distraction</w:t>
            </w:r>
          </w:p>
        </w:tc>
        <w:tc>
          <w:tcPr>
            <w:tcW w:type="dxa" w:w="4320"/>
          </w:tcPr>
          <w:p>
            <w:r>
              <w:t>Call brother-in-law; weekend football club group chat; visit parents in Bendigo</w:t>
            </w:r>
          </w:p>
        </w:tc>
      </w:tr>
      <w:tr>
        <w:tc>
          <w:tcPr>
            <w:tcW w:type="dxa" w:w="4320"/>
          </w:tcPr>
          <w:p>
            <w:r>
              <w:t>People who can help</w:t>
            </w:r>
          </w:p>
        </w:tc>
        <w:tc>
          <w:tcPr>
            <w:tcW w:type="dxa" w:w="4320"/>
          </w:tcPr>
          <w:p>
            <w:r>
              <w:t>Priya Whitfield (spouse) — 0433 990 214</w:t>
            </w:r>
          </w:p>
        </w:tc>
      </w:tr>
      <w:tr>
        <w:tc>
          <w:tcPr>
            <w:tcW w:type="dxa" w:w="4320"/>
          </w:tcPr>
          <w:p>
            <w:r>
              <w:t>Professionals / agencies to contact</w:t>
            </w:r>
          </w:p>
        </w:tc>
        <w:tc>
          <w:tcPr>
            <w:tcW w:type="dxa" w:w="4320"/>
          </w:tcPr>
          <w:p>
            <w:r>
              <w:t>Dr. Amelia Ferro (03) 5551 3320; Dr. Susan Ng (03) 5551 0192; Lifeline 13 11 14; Suicide Call Back Service 1300 659 467</w:t>
            </w:r>
          </w:p>
        </w:tc>
      </w:tr>
      <w:tr>
        <w:tc>
          <w:tcPr>
            <w:tcW w:type="dxa" w:w="4320"/>
          </w:tcPr>
          <w:p>
            <w:r>
              <w:t>Means restriction</w:t>
            </w:r>
          </w:p>
        </w:tc>
        <w:tc>
          <w:tcPr>
            <w:tcW w:type="dxa" w:w="4320"/>
          </w:tcPr>
          <w:p>
            <w:r>
              <w:t>No firearms in the home; household medications moved to a locked cabinet at Priya's suggestion as a precaution</w:t>
            </w:r>
          </w:p>
        </w:tc>
      </w:tr>
      <w:tr>
        <w:tc>
          <w:tcPr>
            <w:tcW w:type="dxa" w:w="4320"/>
          </w:tcPr>
          <w:p>
            <w:r>
              <w:t>Reasons for living</w:t>
            </w:r>
          </w:p>
        </w:tc>
        <w:tc>
          <w:tcPr>
            <w:tcW w:type="dxa" w:w="4320"/>
          </w:tcPr>
          <w:p>
            <w:r>
              <w:t>Children Kai and Mira; wanting to return to full duties and football; marriage to Priya</w:t>
            </w:r>
          </w:p>
        </w:tc>
      </w:tr>
    </w:tbl>
    <w:p/>
    <w:p>
      <w:pPr>
        <w:pStyle w:val="Heading2"/>
      </w:pPr>
      <w:r>
        <w:t>Clinician Summary</w:t>
      </w:r>
    </w:p>
    <w:p>
      <w:r>
        <w:t>Overall risk is assessed as low across all domains at this time, reflecting a single resolved episode of passive ideation in December 2025 rather than an ongoing pattern. No changes to the current outpatient treatment plan are indicated on risk grounds. Safety plan provided to client and reviewed collaboratively; to be revisited at each session and immediately if any of the warning signs above recur.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