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Capacity — WorkCover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Worker</w:t>
            </w:r>
          </w:p>
        </w:tc>
        <w:tc>
          <w:tcPr>
            <w:tcW w:type="dxa" w:w="4320"/>
          </w:tcPr>
          <w:p>
            <w:r>
              <w:t>Jordan Elliot Whitfield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12/04/1985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45 Kestrel Ave, Coburg VIC 3058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0412 887 234</w:t>
            </w:r>
          </w:p>
        </w:tc>
      </w:tr>
      <w:tr>
        <w:tc>
          <w:tcPr>
            <w:tcW w:type="dxa" w:w="4320"/>
          </w:tcPr>
          <w:p>
            <w:r>
              <w:t>Employer</w:t>
            </w:r>
          </w:p>
        </w:tc>
        <w:tc>
          <w:tcPr>
            <w:tcW w:type="dxa" w:w="4320"/>
          </w:tcPr>
          <w:p>
            <w:r>
              <w:t>Coburg Logistics Pty Ltd</w:t>
            </w:r>
          </w:p>
        </w:tc>
      </w:tr>
      <w:tr>
        <w:tc>
          <w:tcPr>
            <w:tcW w:type="dxa" w:w="4320"/>
          </w:tcPr>
          <w:p>
            <w:r>
              <w:t>Claim number</w:t>
            </w:r>
          </w:p>
        </w:tc>
        <w:tc>
          <w:tcPr>
            <w:tcW w:type="dxa" w:w="4320"/>
          </w:tcPr>
          <w:p>
            <w:r>
              <w:t>WC-2025-118342</w:t>
            </w:r>
          </w:p>
        </w:tc>
      </w:tr>
      <w:tr>
        <w:tc>
          <w:tcPr>
            <w:tcW w:type="dxa" w:w="4320"/>
          </w:tcPr>
          <w:p>
            <w:r>
              <w:t>Insurer</w:t>
            </w:r>
          </w:p>
        </w:tc>
        <w:tc>
          <w:tcPr>
            <w:tcW w:type="dxa" w:w="4320"/>
          </w:tcPr>
          <w:p>
            <w:r>
              <w:t>Statewide Workers Insurance</w:t>
            </w:r>
          </w:p>
        </w:tc>
      </w:tr>
      <w:tr>
        <w:tc>
          <w:tcPr>
            <w:tcW w:type="dxa" w:w="4320"/>
          </w:tcPr>
          <w:p>
            <w:r>
              <w:t>Case manager</w:t>
            </w:r>
          </w:p>
        </w:tc>
        <w:tc>
          <w:tcPr>
            <w:tcW w:type="dxa" w:w="4320"/>
          </w:tcPr>
          <w:p>
            <w:r>
              <w:t>Marcus Delaney  |  (03) 5551 4120</w:t>
            </w:r>
          </w:p>
        </w:tc>
      </w:tr>
      <w:tr>
        <w:tc>
          <w:tcPr>
            <w:tcW w:type="dxa" w:w="4320"/>
          </w:tcPr>
          <w:p>
            <w:r>
              <w:t>Date of injury</w:t>
            </w:r>
          </w:p>
        </w:tc>
        <w:tc>
          <w:tcPr>
            <w:tcW w:type="dxa" w:w="4320"/>
          </w:tcPr>
          <w:p>
            <w:r>
              <w:t>14 October 2025</w:t>
            </w:r>
          </w:p>
        </w:tc>
      </w:tr>
      <w:tr>
        <w:tc>
          <w:tcPr>
            <w:tcW w:type="dxa" w:w="4320"/>
          </w:tcPr>
          <w:p>
            <w:r>
              <w:t>Certificate period</w:t>
            </w:r>
          </w:p>
        </w:tc>
        <w:tc>
          <w:tcPr>
            <w:tcW w:type="dxa" w:w="4320"/>
          </w:tcPr>
          <w:p>
            <w:r>
              <w:t>05/03/2026 to 02/04/2026</w:t>
            </w:r>
          </w:p>
        </w:tc>
      </w:tr>
    </w:tbl>
    <w:p/>
    <w:p>
      <w:pPr>
        <w:pStyle w:val="Heading2"/>
      </w:pPr>
      <w:r>
        <w:t>Diagnosis</w:t>
      </w:r>
    </w:p>
    <w:p>
      <w:r>
        <w:t>1. Healed closed fracture, right distal radius (14/10/2025), with residual wrist stiffness and grip weakness. 2. Post-traumatic stress disorder arising from the same incident, moderate and improving with treatment.</w:t>
      </w:r>
    </w:p>
    <w:p>
      <w:pPr>
        <w:pStyle w:val="Heading2"/>
      </w:pPr>
      <w:r>
        <w:t>Capacity for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4320"/>
          </w:tcPr>
          <w:p>
            <w:r>
              <w:t>Current capacity</w:t>
            </w:r>
          </w:p>
        </w:tc>
        <w:tc>
          <w:tcPr>
            <w:tcW w:type="dxa" w:w="4320"/>
          </w:tcPr>
          <w:p>
            <w:r>
              <w:t>Suitable for modified duties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6 hours/day, 5 days/week, building to full-time over 4 weeks</w:t>
            </w:r>
          </w:p>
        </w:tc>
      </w:tr>
      <w:tr>
        <w:tc>
          <w:tcPr>
            <w:tcW w:type="dxa" w:w="4320"/>
          </w:tcPr>
          <w:p>
            <w:r>
              <w:t>Restrictions - physical</w:t>
            </w:r>
          </w:p>
        </w:tc>
        <w:tc>
          <w:tcPr>
            <w:tcW w:type="dxa" w:w="4320"/>
          </w:tcPr>
          <w:p>
            <w:r>
              <w:t>No lifting &gt; 5 kg with the right hand; no operating or working within 3 m of forklifts or reversing vehicles</w:t>
            </w:r>
          </w:p>
        </w:tc>
      </w:tr>
      <w:tr>
        <w:tc>
          <w:tcPr>
            <w:tcW w:type="dxa" w:w="4320"/>
          </w:tcPr>
          <w:p>
            <w:r>
              <w:t>Restrictions - psychological</w:t>
            </w:r>
          </w:p>
        </w:tc>
        <w:tc>
          <w:tcPr>
            <w:tcW w:type="dxa" w:w="4320"/>
          </w:tcPr>
          <w:p>
            <w:r>
              <w:t>Graded, supervised re-introduction to the warehouse floor with a familiar colleague present; no solo floor shifts until reviewed</w:t>
            </w:r>
          </w:p>
        </w:tc>
      </w:tr>
      <w:tr>
        <w:tc>
          <w:tcPr>
            <w:tcW w:type="dxa" w:w="4320"/>
          </w:tcPr>
          <w:p>
            <w:r>
              <w:t>Review date</w:t>
            </w:r>
          </w:p>
        </w:tc>
        <w:tc>
          <w:tcPr>
            <w:tcW w:type="dxa" w:w="4320"/>
          </w:tcPr>
          <w:p>
            <w:r>
              <w:t>02/04/2026</w:t>
            </w:r>
          </w:p>
        </w:tc>
      </w:tr>
    </w:tbl>
    <w:p/>
    <w:p>
      <w:pPr>
        <w:pStyle w:val="Heading2"/>
      </w:pPr>
      <w:r>
        <w:t>Treatment</w:t>
      </w:r>
    </w:p>
    <w:p>
      <w:r>
        <w:t>Trauma-focused CBT weekly with Dr Amelia Ferro (Northgate Psychology Clinic); psychiatric review with Dr Nadia Haddad; physiotherapy with Grace Tan for wrist rehabilitation. Sertraline 50 mg mane commenced 18/03/2026.</w:t>
      </w:r>
    </w:p>
    <w:p>
      <w:r>
        <w:t>Certified by: Dr. Susan Ng, Riverside Family Medical Practice, 12 Wattle Street, Coburg VIC 3058. Provider No. 2481726A. Date: 05/03/2026.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