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GP Consultation Note — Riverside Family Medical Practice</w:t>
      </w:r>
    </w:p>
    <w:p>
      <w:r>
        <w:t>Patient: Jordan Elliot Whitfield  |  DOB 12/04/1985  |  Medicare 2934 5671 0  |  Address: 45 Kestrel Ave, Coburg VIC 3058</w:t>
      </w:r>
    </w:p>
    <w:p>
      <w:r>
        <w:t>Date: 25 March 2026  |  Seen by: Dr. Susan Ng  |  Item: 36 (standard consultation)</w:t>
      </w:r>
    </w:p>
    <w:p/>
    <w:p>
      <w:r>
        <w:t xml:space="preserve">S: </w:t>
      </w:r>
    </w:p>
    <w:p>
      <w:r>
        <w:t>Review of mood and sleep. Reports sertraline 50 mg started by Dr Nadia Haddad one week ago; some nausea in the first three days, now settled. Sleep onset improving. Wrist less stiff since starting physio with Grace Tan. Wife Priya reports he is 'more himself'. No suicidal ideation. Alcohol down to about 4 standard drinks per week.</w:t>
      </w:r>
    </w:p>
    <w:p>
      <w:r>
        <w:t xml:space="preserve">O: </w:t>
      </w:r>
    </w:p>
    <w:p>
      <w:r>
        <w:t>BP 128/82, HR 74 regular, afebrile. Right wrist: full pronation/supination, mild reduction in wrist extension, grip 26 kg right vs 44 kg left. Affect brighter, reactive. No tremor.</w:t>
      </w:r>
    </w:p>
    <w:p>
      <w:r>
        <w:t xml:space="preserve">A: </w:t>
      </w:r>
    </w:p>
    <w:p>
      <w:r>
        <w:t>PTSD - improving on sertraline and CBT. Post-fracture wrist stiffness - improving with physiotherapy. Hazardous alcohol use - reducing.</w:t>
      </w:r>
    </w:p>
    <w:p>
      <w:r>
        <w:t xml:space="preserve">P: </w:t>
      </w:r>
    </w:p>
    <w:p>
      <w:r>
        <w:t>Increase sertraline to 100 mg mane as advised by psychiatry. Continue physiotherapy. Repeat LFTs and fasting lipids in 8 weeks (last done 05/03/2026 at Northside Pathology). New Certificate of Capacity issued for the WorkCover claim (WC-2025-118342), modified duties, review 02/04/2026. Follow-up with me in 3 weeks; sooner if mood worsens.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