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Validasi Classifier Analisis Sentimen</w:t>
      </w:r>
    </w:p>
    <w:p>
      <w:pPr>
        <w:jc w:val="center"/>
      </w:pPr>
      <w:r>
        <w:rPr>
          <w:b/>
          <w:sz w:val="26"/>
        </w:rPr>
        <w:t>Studi Kasus: Data Scraping Reputasi Mahkamah Agung RI di YouTube</w:t>
      </w:r>
    </w:p>
    <w:p>
      <w:pPr>
        <w:jc w:val="center"/>
      </w:pPr>
      <w:r>
        <w:rPr>
          <w:i/>
        </w:rPr>
        <w:t>Catatan metodologi pendukung Laporan Evaluasi dan Perancangan Ulang Website Mahkamah Agung Republik Indonesia (Kelompok 10)</w:t>
      </w:r>
    </w:p>
    <w:p/>
    <w:p>
      <w:pPr>
        <w:pStyle w:val="Heading1"/>
      </w:pPr>
      <w:r>
        <w:t>1. Latar Belakang Singkat</w:t>
      </w:r>
    </w:p>
    <w:p>
      <w:r>
        <w:rPr>
          <w:b w:val="0"/>
          <w:i w:val="0"/>
        </w:rPr>
        <w:t>Data scraping reputasi Mahkamah Agung RI (24.570 komentar YouTube, 1.314 video, periode 2020-2026) sudah diberi label sentimen (positif/netral/negatif) oleh classifier yang dipakai pada tahap pengumpulan data. Sebelum angka-angka pada reputation_trend.csv dan sentiment_summary.csv dipakai sebagai dasar argumen di laporan utama, classifier tersebut perlu diuji validitasnya: metode klasifikasi sentimen otomatis, seakurat apapun terlihat, wajib divalidasi lawan ground truth sebelum hasilnya disitir sebagai temuan ilmiah.</w:t>
      </w:r>
    </w:p>
    <w:p>
      <w:pPr>
        <w:pStyle w:val="Heading1"/>
      </w:pPr>
      <w:r>
        <w:t>2. Metode</w:t>
      </w:r>
    </w:p>
    <w:p>
      <w:r>
        <w:rPr>
          <w:b w:val="0"/>
          <w:i w:val="0"/>
        </w:rPr>
        <w:t>Validitas classifier diuji melalui dua tahap concurrent-validity check, mengikuti prinsip yang direkomendasikan van Atteveldt, van der Velden, dan Boukes (2021) bahwa metode sentiment analysis apapun (dictionary, machine learning, maupun sumber tidak terdokumentasi) harus dibandingkan dengan coding manusia sebagai acuan.</w:t>
      </w:r>
    </w:p>
    <w:p>
      <w:pPr>
        <w:pStyle w:val="Heading2"/>
      </w:pPr>
      <w:r>
        <w:t>2.1 Tahap 1: Cross-check dengan Lexicon Independen</w:t>
      </w:r>
    </w:p>
    <w:p>
      <w:r>
        <w:rPr>
          <w:b w:val="0"/>
          <w:i w:val="0"/>
        </w:rPr>
        <w:t>Seluruh 11.152 komentar pada sentiment_detail.csv diklasifikasi ulang secara independen menggunakan InSet Lexicon (unsupervised, lexicon-based), lalu dibandingkan dengan label classifier asli. Dijalankan dua varian: tanpa filter dan dengan filter stopword Bahasa Indonesia, untuk mengontrol noise dari kata fungsi yang punya bobot polaritas tidak wajar pada lexicon mentah.</w:t>
      </w:r>
    </w:p>
    <w:p>
      <w:pPr>
        <w:pStyle w:val="Heading2"/>
      </w:pPr>
      <w:r>
        <w:t>2.2 Tahap 2: Validasi Gold Standard Manual</w:t>
      </w:r>
    </w:p>
    <w:p>
      <w:r>
        <w:rPr>
          <w:b w:val="0"/>
          <w:i w:val="0"/>
        </w:rPr>
        <w:t>Karena Tahap 1 tidak cukup meyakinkan (lihat bagian Hasil), sampel diambil secara acak berstrata dari sentiment_detail.csv sejumlah 300 komentar (100 per kelas: positif/netral/negatif), menggunakan random seed tetap agar dapat direproduksi. Label classifier asli pada sampel ini disembunyikan (blind) lebih dulu. Dua annotator independen (rater 1 dan rater 2) kemudian membaca dan memberi label manual (positif/netral/negatif) pada seluruh 300 sampel secara terpisah, tanpa melihat label satu sama lain maupun label classifier. Baris yang kedua rater sepakat dijadikan konsensus sebagai gold standard, lalu dibandingkan dengan label classifier asli yang sebelumnya disembunyikan untuk menghitung accuracy, Cohen's kappa, serta precision/recall/F1 per kelas, mengikuti pola pelaporan Koto dan Rahmaningtyas (2017).</w:t>
      </w:r>
    </w:p>
    <w:p>
      <w:r>
        <w:rPr>
          <w:b w:val="0"/>
          <w:i/>
        </w:rPr>
        <w:t>Catatan transparansi: rater 1 adalah pembacaan cermat berbantuan AI (large language model), rater 2 adalah anggota tim (Ilham Akbar Tauhid) yang membaca dan melabel secara independen tanpa melihat label rater 1 maupun label classifier asli. Kombinasi ini bukan dua rater manusia sepenuhnya, namun kesepakatan yang tinggi antara keduanya (lihat bagian Hasil) menunjukkan label yang dihasilkan konsisten dan tidak bergantung pada satu sudut pandang saja.</w:t>
      </w:r>
    </w:p>
    <w:p>
      <w:pPr>
        <w:pStyle w:val="Heading1"/>
      </w:pPr>
      <w:r>
        <w:t>3. Model / Metode yang Dibandingkan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Jenis</w:t>
            </w:r>
          </w:p>
        </w:tc>
        <w:tc>
          <w:tcPr>
            <w:tcW w:type="dxa" w:w="2880"/>
          </w:tcPr>
          <w:p>
            <w:r>
              <w:rPr>
                <w:b/>
              </w:rPr>
              <w:t>Deskripsi singkat</w:t>
            </w:r>
          </w:p>
        </w:tc>
      </w:tr>
      <w:tr>
        <w:tc>
          <w:tcPr>
            <w:tcW w:type="dxa" w:w="2880"/>
          </w:tcPr>
          <w:p>
            <w:r>
              <w:t>Classifier asli</w:t>
            </w:r>
          </w:p>
        </w:tc>
        <w:tc>
          <w:tcPr>
            <w:tcW w:type="dxa" w:w="2880"/>
          </w:tcPr>
          <w:p>
            <w:r>
              <w:t>Tidak terdokumentasi</w:t>
            </w:r>
          </w:p>
        </w:tc>
        <w:tc>
          <w:tcPr>
            <w:tcW w:type="dxa" w:w="2880"/>
          </w:tcPr>
          <w:p>
            <w:r>
              <w:t>Sumber label 'sentiment' pada sentiment_detail.csv; metode pembentukannya tidak tercatat dalam output data scraping (limitasi transparansi).</w:t>
            </w:r>
          </w:p>
        </w:tc>
      </w:tr>
      <w:tr>
        <w:tc>
          <w:tcPr>
            <w:tcW w:type="dxa" w:w="2880"/>
          </w:tcPr>
          <w:p>
            <w:r>
              <w:t>InSet Lexicon (v1)</w:t>
            </w:r>
          </w:p>
        </w:tc>
        <w:tc>
          <w:tcPr>
            <w:tcW w:type="dxa" w:w="2880"/>
          </w:tcPr>
          <w:p>
            <w:r>
              <w:t>Unsupervised, lexicon-based</w:t>
            </w:r>
          </w:p>
        </w:tc>
        <w:tc>
          <w:tcPr>
            <w:tcW w:type="dxa" w:w="2880"/>
          </w:tcPr>
          <w:p>
            <w:r>
              <w:t>Sum bobot polaritas kata (Koto &amp; Rahmaningtyas, 2017), 3.609 kata positif + 6.609 kata negatif, tanpa filter.</w:t>
            </w:r>
          </w:p>
        </w:tc>
      </w:tr>
      <w:tr>
        <w:tc>
          <w:tcPr>
            <w:tcW w:type="dxa" w:w="2880"/>
          </w:tcPr>
          <w:p>
            <w:r>
              <w:t>InSet Lexicon (v2)</w:t>
            </w:r>
          </w:p>
        </w:tc>
        <w:tc>
          <w:tcPr>
            <w:tcW w:type="dxa" w:w="2880"/>
          </w:tcPr>
          <w:p>
            <w:r>
              <w:t>Unsupervised, lexicon-based</w:t>
            </w:r>
          </w:p>
        </w:tc>
        <w:tc>
          <w:tcPr>
            <w:tcW w:type="dxa" w:w="2880"/>
          </w:tcPr>
          <w:p>
            <w:r>
              <w:t>Sama seperti v1, dengan filter 757 stopword Bahasa Indonesia sebelum penjumlahan skor.</w:t>
            </w:r>
          </w:p>
        </w:tc>
      </w:tr>
      <w:tr>
        <w:tc>
          <w:tcPr>
            <w:tcW w:type="dxa" w:w="2880"/>
          </w:tcPr>
          <w:p>
            <w:r>
              <w:t>Gold standard manual</w:t>
            </w:r>
          </w:p>
        </w:tc>
        <w:tc>
          <w:tcPr>
            <w:tcW w:type="dxa" w:w="2880"/>
          </w:tcPr>
          <w:p>
            <w:r>
              <w:t>Manual coding (2 rater independen)</w:t>
            </w:r>
          </w:p>
        </w:tc>
        <w:tc>
          <w:tcPr>
            <w:tcW w:type="dxa" w:w="2880"/>
          </w:tcPr>
          <w:p>
            <w:r>
              <w:t>300 sampel stratified (100/kelas); label existing di-blind, dibaca &amp; dilabel independen oleh 2 rater (tanpa saling melihat), lalu dikonsensuskan (274 baris sepakat).</w:t>
            </w:r>
          </w:p>
        </w:tc>
      </w:tr>
    </w:tbl>
    <w:p/>
    <w:p>
      <w:pPr>
        <w:pStyle w:val="Heading1"/>
      </w:pPr>
      <w:r>
        <w:t>4. Hasil</w:t>
      </w:r>
    </w:p>
    <w:p>
      <w:pPr>
        <w:pStyle w:val="Heading2"/>
      </w:pPr>
      <w:r>
        <w:t>4.1 Tahap 1: Cross-check InSet Lexicon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Varian</w:t>
            </w:r>
          </w:p>
        </w:tc>
        <w:tc>
          <w:tcPr>
            <w:tcW w:type="dxa" w:w="1728"/>
          </w:tcPr>
          <w:p>
            <w:r>
              <w:rPr>
                <w:b/>
              </w:rPr>
              <w:t>n</w:t>
            </w:r>
          </w:p>
        </w:tc>
        <w:tc>
          <w:tcPr>
            <w:tcW w:type="dxa" w:w="1728"/>
          </w:tcPr>
          <w:p>
            <w:r>
              <w:rPr>
                <w:b/>
              </w:rPr>
              <w:t>Accuracy</w:t>
            </w:r>
          </w:p>
        </w:tc>
        <w:tc>
          <w:tcPr>
            <w:tcW w:type="dxa" w:w="1728"/>
          </w:tcPr>
          <w:p>
            <w:r>
              <w:rPr>
                <w:b/>
              </w:rPr>
              <w:t>Cohen's kappa</w:t>
            </w:r>
          </w:p>
        </w:tc>
        <w:tc>
          <w:tcPr>
            <w:tcW w:type="dxa" w:w="1728"/>
          </w:tcPr>
          <w:p>
            <w:r>
              <w:rPr>
                <w:b/>
              </w:rPr>
              <w:t>Interpretasi</w:t>
            </w:r>
          </w:p>
        </w:tc>
      </w:tr>
      <w:tr>
        <w:tc>
          <w:tcPr>
            <w:tcW w:type="dxa" w:w="1728"/>
          </w:tcPr>
          <w:p>
            <w:r>
              <w:t>v1 - tanpa filter</w:t>
            </w:r>
          </w:p>
        </w:tc>
        <w:tc>
          <w:tcPr>
            <w:tcW w:type="dxa" w:w="1728"/>
          </w:tcPr>
          <w:p>
            <w:r>
              <w:t>11.152</w:t>
            </w:r>
          </w:p>
        </w:tc>
        <w:tc>
          <w:tcPr>
            <w:tcW w:type="dxa" w:w="1728"/>
          </w:tcPr>
          <w:p>
            <w:r>
              <w:t>22,2%</w:t>
            </w:r>
          </w:p>
        </w:tc>
        <w:tc>
          <w:tcPr>
            <w:tcW w:type="dxa" w:w="1728"/>
          </w:tcPr>
          <w:p>
            <w:r>
              <w:t>0,059</w:t>
            </w:r>
          </w:p>
        </w:tc>
        <w:tc>
          <w:tcPr>
            <w:tcW w:type="dxa" w:w="1728"/>
          </w:tcPr>
          <w:p>
            <w:r>
              <w:t>Slight (nyaris setara tebakan acak)</w:t>
            </w:r>
          </w:p>
        </w:tc>
      </w:tr>
      <w:tr>
        <w:tc>
          <w:tcPr>
            <w:tcW w:type="dxa" w:w="1728"/>
          </w:tcPr>
          <w:p>
            <w:r>
              <w:t>v2 - filter stopword</w:t>
            </w:r>
          </w:p>
        </w:tc>
        <w:tc>
          <w:tcPr>
            <w:tcW w:type="dxa" w:w="1728"/>
          </w:tcPr>
          <w:p>
            <w:r>
              <w:t>11.152</w:t>
            </w:r>
          </w:p>
        </w:tc>
        <w:tc>
          <w:tcPr>
            <w:tcW w:type="dxa" w:w="1728"/>
          </w:tcPr>
          <w:p>
            <w:r>
              <w:t>29,2%</w:t>
            </w:r>
          </w:p>
        </w:tc>
        <w:tc>
          <w:tcPr>
            <w:tcW w:type="dxa" w:w="1728"/>
          </w:tcPr>
          <w:p>
            <w:r>
              <w:t>0,092</w:t>
            </w:r>
          </w:p>
        </w:tc>
        <w:tc>
          <w:tcPr>
            <w:tcW w:type="dxa" w:w="1728"/>
          </w:tcPr>
          <w:p>
            <w:r>
              <w:t>Slight</w:t>
            </w:r>
          </w:p>
        </w:tc>
      </w:tr>
    </w:tbl>
    <w:p/>
    <w:p>
      <w:r>
        <w:rPr>
          <w:b w:val="0"/>
          <w:i w:val="0"/>
        </w:rPr>
        <w:t>Distribusi label InSet (v2) sangat berbeda dari classifier asli: InSet menandai 60,9% komentar sebagai negatif, sementara classifier asli hanya 9,4%.</w:t>
      </w:r>
    </w:p>
    <w:p>
      <w:pPr>
        <w:pStyle w:val="Heading2"/>
      </w:pPr>
      <w:r>
        <w:t>4.2 Tahap 2: Validasi Gold Standard Manual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Metrik</w:t>
            </w:r>
          </w:p>
        </w:tc>
        <w:tc>
          <w:tcPr>
            <w:tcW w:type="dxa" w:w="4320"/>
          </w:tcPr>
          <w:p>
            <w:r>
              <w:rPr>
                <w:b/>
              </w:rPr>
              <w:t>Nilai</w:t>
            </w:r>
          </w:p>
        </w:tc>
      </w:tr>
      <w:tr>
        <w:tc>
          <w:tcPr>
            <w:tcW w:type="dxa" w:w="4320"/>
          </w:tcPr>
          <w:p>
            <w:r>
              <w:t>n</w:t>
            </w:r>
          </w:p>
        </w:tc>
        <w:tc>
          <w:tcPr>
            <w:tcW w:type="dxa" w:w="4320"/>
          </w:tcPr>
          <w:p>
            <w:r>
              <w:t>274 (dari 300, setelah konsensus)</w:t>
            </w:r>
          </w:p>
        </w:tc>
      </w:tr>
      <w:tr>
        <w:tc>
          <w:tcPr>
            <w:tcW w:type="dxa" w:w="4320"/>
          </w:tcPr>
          <w:p>
            <w:r>
              <w:t>Accuracy</w:t>
            </w:r>
          </w:p>
        </w:tc>
        <w:tc>
          <w:tcPr>
            <w:tcW w:type="dxa" w:w="4320"/>
          </w:tcPr>
          <w:p>
            <w:r>
              <w:t>69,0%</w:t>
            </w:r>
          </w:p>
        </w:tc>
      </w:tr>
      <w:tr>
        <w:tc>
          <w:tcPr>
            <w:tcW w:type="dxa" w:w="4320"/>
          </w:tcPr>
          <w:p>
            <w:r>
              <w:t>Expected agreement (by chance)</w:t>
            </w:r>
          </w:p>
        </w:tc>
        <w:tc>
          <w:tcPr>
            <w:tcW w:type="dxa" w:w="4320"/>
          </w:tcPr>
          <w:p>
            <w:r>
              <w:t>33,3%</w:t>
            </w:r>
          </w:p>
        </w:tc>
      </w:tr>
      <w:tr>
        <w:tc>
          <w:tcPr>
            <w:tcW w:type="dxa" w:w="4320"/>
          </w:tcPr>
          <w:p>
            <w:r>
              <w:t>Cohen's kappa</w:t>
            </w:r>
          </w:p>
        </w:tc>
        <w:tc>
          <w:tcPr>
            <w:tcW w:type="dxa" w:w="4320"/>
          </w:tcPr>
          <w:p>
            <w:r>
              <w:t>0,535</w:t>
            </w:r>
          </w:p>
        </w:tc>
      </w:tr>
      <w:tr>
        <w:tc>
          <w:tcPr>
            <w:tcW w:type="dxa" w:w="4320"/>
          </w:tcPr>
          <w:p>
            <w:r>
              <w:t>Interpretasi (Landis &amp; Koch, 1977)</w:t>
            </w:r>
          </w:p>
        </w:tc>
        <w:tc>
          <w:tcPr>
            <w:tcW w:type="dxa" w:w="4320"/>
          </w:tcPr>
          <w:p>
            <w:r>
              <w:t>Moderate</w:t>
            </w:r>
          </w:p>
        </w:tc>
      </w:tr>
    </w:tbl>
    <w:p/>
    <w:p>
      <w:r>
        <w:t>Reliabilitas antar-rater (inter-rater reliability) dihitung terlebih dahulu untuk memastikan kedua rater konsisten sebelum labelnya dipakai sebagai gold standard: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Metrik</w:t>
            </w:r>
          </w:p>
        </w:tc>
        <w:tc>
          <w:tcPr>
            <w:tcW w:type="dxa" w:w="4320"/>
          </w:tcPr>
          <w:p>
            <w:r>
              <w:rPr>
                <w:b/>
              </w:rPr>
              <w:t>Nilai</w:t>
            </w:r>
          </w:p>
        </w:tc>
      </w:tr>
      <w:tr>
        <w:tc>
          <w:tcPr>
            <w:tcW w:type="dxa" w:w="4320"/>
          </w:tcPr>
          <w:p>
            <w:r>
              <w:t>n (sampel)</w:t>
            </w:r>
          </w:p>
        </w:tc>
        <w:tc>
          <w:tcPr>
            <w:tcW w:type="dxa" w:w="4320"/>
          </w:tcPr>
          <w:p>
            <w:r>
              <w:t>300</w:t>
            </w:r>
          </w:p>
        </w:tc>
      </w:tr>
      <w:tr>
        <w:tc>
          <w:tcPr>
            <w:tcW w:type="dxa" w:w="4320"/>
          </w:tcPr>
          <w:p>
            <w:r>
              <w:t>Observed agreement</w:t>
            </w:r>
          </w:p>
        </w:tc>
        <w:tc>
          <w:tcPr>
            <w:tcW w:type="dxa" w:w="4320"/>
          </w:tcPr>
          <w:p>
            <w:r>
              <w:t>91,3%</w:t>
            </w:r>
          </w:p>
        </w:tc>
      </w:tr>
      <w:tr>
        <w:tc>
          <w:tcPr>
            <w:tcW w:type="dxa" w:w="4320"/>
          </w:tcPr>
          <w:p>
            <w:r>
              <w:t>Cohen's kappa (rater 1 vs rater 2)</w:t>
            </w:r>
          </w:p>
        </w:tc>
        <w:tc>
          <w:tcPr>
            <w:tcW w:type="dxa" w:w="4320"/>
          </w:tcPr>
          <w:p>
            <w:r>
              <w:t>0,857</w:t>
            </w:r>
          </w:p>
        </w:tc>
      </w:tr>
      <w:tr>
        <w:tc>
          <w:tcPr>
            <w:tcW w:type="dxa" w:w="4320"/>
          </w:tcPr>
          <w:p>
            <w:r>
              <w:t>Interpretasi (Landis &amp; Koch, 1977)</w:t>
            </w:r>
          </w:p>
        </w:tc>
        <w:tc>
          <w:tcPr>
            <w:tcW w:type="dxa" w:w="4320"/>
          </w:tcPr>
          <w:p>
            <w:r>
              <w:t>Excellent (almost perfect)</w:t>
            </w:r>
          </w:p>
        </w:tc>
      </w:tr>
    </w:tbl>
    <w:p>
      <w:r>
        <w:t>Dari 300 sampel, kedua rater sepakat pada 274 baris (91,3%); 26 baris yang tidak sepakat dikeluarkan dari perhitungan gold standard berikutnya. Baris yang rater-nya sendiri berbeda pendapat bukan acuan yang solid untuk menilai classifier.</w:t>
      </w:r>
    </w:p>
    <w:p>
      <w:r>
        <w:t>Classifier asli lalu dibandingkan dengan 274 baris konsensus:</w:t>
      </w:r>
    </w:p>
    <w:p>
      <w:r>
        <w:rPr>
          <w:b/>
          <w:i w:val="0"/>
        </w:rPr>
        <w:t>Confusion matrix (baris = gold standard manual, kolom = classifier asli):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Gold \ Classifier</w:t>
            </w:r>
          </w:p>
        </w:tc>
        <w:tc>
          <w:tcPr>
            <w:tcW w:type="dxa" w:w="2160"/>
          </w:tcPr>
          <w:p>
            <w:r>
              <w:rPr>
                <w:b/>
              </w:rPr>
              <w:t>positif</w:t>
            </w:r>
          </w:p>
        </w:tc>
        <w:tc>
          <w:tcPr>
            <w:tcW w:type="dxa" w:w="2160"/>
          </w:tcPr>
          <w:p>
            <w:r>
              <w:rPr>
                <w:b/>
              </w:rPr>
              <w:t>netral</w:t>
            </w:r>
          </w:p>
        </w:tc>
        <w:tc>
          <w:tcPr>
            <w:tcW w:type="dxa" w:w="2160"/>
          </w:tcPr>
          <w:p>
            <w:r>
              <w:rPr>
                <w:b/>
              </w:rPr>
              <w:t>negatif</w:t>
            </w:r>
          </w:p>
        </w:tc>
      </w:tr>
      <w:tr>
        <w:tc>
          <w:tcPr>
            <w:tcW w:type="dxa" w:w="2160"/>
          </w:tcPr>
          <w:p>
            <w:r>
              <w:t>positif</w:t>
            </w:r>
          </w:p>
        </w:tc>
        <w:tc>
          <w:tcPr>
            <w:tcW w:type="dxa" w:w="2160"/>
          </w:tcPr>
          <w:p>
            <w:r>
              <w:t>78</w:t>
            </w:r>
          </w:p>
        </w:tc>
        <w:tc>
          <w:tcPr>
            <w:tcW w:type="dxa" w:w="2160"/>
          </w:tcPr>
          <w:p>
            <w:r>
              <w:t>11</w:t>
            </w:r>
          </w:p>
        </w:tc>
        <w:tc>
          <w:tcPr>
            <w:tcW w:type="dxa" w:w="2160"/>
          </w:tcPr>
          <w:p>
            <w:r>
              <w:t>1</w:t>
            </w:r>
          </w:p>
        </w:tc>
      </w:tr>
      <w:tr>
        <w:tc>
          <w:tcPr>
            <w:tcW w:type="dxa" w:w="2160"/>
          </w:tcPr>
          <w:p>
            <w:r>
              <w:t>netral</w:t>
            </w:r>
          </w:p>
        </w:tc>
        <w:tc>
          <w:tcPr>
            <w:tcW w:type="dxa" w:w="2160"/>
          </w:tcPr>
          <w:p>
            <w:r>
              <w:t>7</w:t>
            </w:r>
          </w:p>
        </w:tc>
        <w:tc>
          <w:tcPr>
            <w:tcW w:type="dxa" w:w="2160"/>
          </w:tcPr>
          <w:p>
            <w:r>
              <w:t>27</w:t>
            </w:r>
          </w:p>
        </w:tc>
        <w:tc>
          <w:tcPr>
            <w:tcW w:type="dxa" w:w="2160"/>
          </w:tcPr>
          <w:p>
            <w:r>
              <w:t>5</w:t>
            </w:r>
          </w:p>
        </w:tc>
      </w:tr>
      <w:tr>
        <w:tc>
          <w:tcPr>
            <w:tcW w:type="dxa" w:w="2160"/>
          </w:tcPr>
          <w:p>
            <w:r>
              <w:t>negatif</w:t>
            </w:r>
          </w:p>
        </w:tc>
        <w:tc>
          <w:tcPr>
            <w:tcW w:type="dxa" w:w="2160"/>
          </w:tcPr>
          <w:p>
            <w:r>
              <w:t>9</w:t>
            </w:r>
          </w:p>
        </w:tc>
        <w:tc>
          <w:tcPr>
            <w:tcW w:type="dxa" w:w="2160"/>
          </w:tcPr>
          <w:p>
            <w:r>
              <w:t>52</w:t>
            </w:r>
          </w:p>
        </w:tc>
        <w:tc>
          <w:tcPr>
            <w:tcW w:type="dxa" w:w="2160"/>
          </w:tcPr>
          <w:p>
            <w:r>
              <w:t>84</w:t>
            </w:r>
          </w:p>
        </w:tc>
      </w:tr>
    </w:tbl>
    <w:p/>
    <w:p>
      <w:r>
        <w:rPr>
          <w:b/>
          <w:i w:val="0"/>
        </w:rPr>
        <w:t>Precision / Recall / F1 per kelas (gold standard manual sebagai acuan):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Kelas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n (gold)</w:t>
            </w:r>
          </w:p>
        </w:tc>
      </w:tr>
      <w:tr>
        <w:tc>
          <w:tcPr>
            <w:tcW w:type="dxa" w:w="1728"/>
          </w:tcPr>
          <w:p>
            <w:r>
              <w:t>positif</w:t>
            </w:r>
          </w:p>
        </w:tc>
        <w:tc>
          <w:tcPr>
            <w:tcW w:type="dxa" w:w="1728"/>
          </w:tcPr>
          <w:p>
            <w:r>
              <w:t>83,0%</w:t>
            </w:r>
          </w:p>
        </w:tc>
        <w:tc>
          <w:tcPr>
            <w:tcW w:type="dxa" w:w="1728"/>
          </w:tcPr>
          <w:p>
            <w:r>
              <w:t>86,7%</w:t>
            </w:r>
          </w:p>
        </w:tc>
        <w:tc>
          <w:tcPr>
            <w:tcW w:type="dxa" w:w="1728"/>
          </w:tcPr>
          <w:p>
            <w:r>
              <w:t>84,8%</w:t>
            </w:r>
          </w:p>
        </w:tc>
        <w:tc>
          <w:tcPr>
            <w:tcW w:type="dxa" w:w="1728"/>
          </w:tcPr>
          <w:p>
            <w:r>
              <w:t>90</w:t>
            </w:r>
          </w:p>
        </w:tc>
      </w:tr>
      <w:tr>
        <w:tc>
          <w:tcPr>
            <w:tcW w:type="dxa" w:w="1728"/>
          </w:tcPr>
          <w:p>
            <w:r>
              <w:t>netral</w:t>
            </w:r>
          </w:p>
        </w:tc>
        <w:tc>
          <w:tcPr>
            <w:tcW w:type="dxa" w:w="1728"/>
          </w:tcPr>
          <w:p>
            <w:r>
              <w:t>30,0%</w:t>
            </w:r>
          </w:p>
        </w:tc>
        <w:tc>
          <w:tcPr>
            <w:tcW w:type="dxa" w:w="1728"/>
          </w:tcPr>
          <w:p>
            <w:r>
              <w:t>69,2%</w:t>
            </w:r>
          </w:p>
        </w:tc>
        <w:tc>
          <w:tcPr>
            <w:tcW w:type="dxa" w:w="1728"/>
          </w:tcPr>
          <w:p>
            <w:r>
              <w:t>41,9%</w:t>
            </w:r>
          </w:p>
        </w:tc>
        <w:tc>
          <w:tcPr>
            <w:tcW w:type="dxa" w:w="1728"/>
          </w:tcPr>
          <w:p>
            <w:r>
              <w:t>39</w:t>
            </w:r>
          </w:p>
        </w:tc>
      </w:tr>
      <w:tr>
        <w:tc>
          <w:tcPr>
            <w:tcW w:type="dxa" w:w="1728"/>
          </w:tcPr>
          <w:p>
            <w:r>
              <w:t>negatif</w:t>
            </w:r>
          </w:p>
        </w:tc>
        <w:tc>
          <w:tcPr>
            <w:tcW w:type="dxa" w:w="1728"/>
          </w:tcPr>
          <w:p>
            <w:r>
              <w:t>93,3%</w:t>
            </w:r>
          </w:p>
        </w:tc>
        <w:tc>
          <w:tcPr>
            <w:tcW w:type="dxa" w:w="1728"/>
          </w:tcPr>
          <w:p>
            <w:r>
              <w:t>57,9%</w:t>
            </w:r>
          </w:p>
        </w:tc>
        <w:tc>
          <w:tcPr>
            <w:tcW w:type="dxa" w:w="1728"/>
          </w:tcPr>
          <w:p>
            <w:r>
              <w:t>71,5%</w:t>
            </w:r>
          </w:p>
        </w:tc>
        <w:tc>
          <w:tcPr>
            <w:tcW w:type="dxa" w:w="1728"/>
          </w:tcPr>
          <w:p>
            <w:r>
              <w:t>145</w:t>
            </w:r>
          </w:p>
        </w:tc>
      </w:tr>
    </w:tbl>
    <w:p/>
    <w:p>
      <w:pPr>
        <w:pStyle w:val="Heading1"/>
      </w:pPr>
      <w:r>
        <w:t>5. Pembahasan</w:t>
      </w:r>
    </w:p>
    <w:p>
      <w:r>
        <w:rPr>
          <w:b w:val="0"/>
          <w:i w:val="0"/>
        </w:rPr>
        <w:t>InSet Lexicon (Tahap 1) gagal jadi pembanding yang valid karena domain mismatch: lexicon dibangun dan divalidasi pada teks microblog umum (Twitter), sedangkan data ini berisi istilah hukum dan politik (pasal, perkara, penjara, vonis, korupsi) yang secara default berbobot sangat negatif pada lexicon umum, padahal sering dipakai netral/faktual dalam komentar berita hukum. Filter stopword sedikit membantu (kappa naik dari 0,059 menjadi 0,092) tapi tidak menyelesaikan akar masalahnya.</w:t>
      </w:r>
    </w:p>
    <w:p>
      <w:r>
        <w:rPr>
          <w:b w:val="0"/>
          <w:i w:val="0"/>
        </w:rPr>
        <w:t>Validasi Tahap 2 terhadap gold standard manual jauh lebih meyakinkan. Kesepakatan antar dua rater independen sangat tinggi (kappa 0,857, kategori excellent), menunjukkan label gold standard yang dipakai cukup konsisten. Terhadap 274 baris yang disepakati kedua rater, classifier asli mencatat kappa 0,535 (moderate), dasar yang cukup layak dipakai, bukan sekadar tebakan. Namun ada pola bias yang konsisten: recall kelas negatif hanya 57,9%, artinya banyak komentar yang secara isi jelas negatif justru diberi label netral oleh classifier (52 dari 145 kasus gold-negatif jatuh ke netral). Precision kelas netral yang rendah (30,0%) mengonfirmasi pola yang sama: netral menjadi semacam 'kelas buangan' untuk komentar ambigu atau negatif yang tidak terdeteksi tegas.</w:t>
      </w:r>
    </w:p>
    <w:p>
      <w:r>
        <w:rPr>
          <w:b w:val="0"/>
          <w:i w:val="0"/>
        </w:rPr>
        <w:t>Implikasi untuk laporan utama: angka-angka pada reputation_trend.csv dan sentiment_summary.csv layak dipakai sebagai indikator (bukan pengukuran presisi), dengan catatan proporsi negatif yang dilaporkan kemungkinan under-estimate. Proporsi sebenarnya bisa lebih tinggi di semua dimensi, termasuk dimensi layanan_digital_ux. Klaim yang membandingkan besaran persentase antar-dimensi sebaiknya dibingkai sebagai kecenderungan ("lebih rendah/lebih tinggi dibanding dimensi lain"), bukan angka presisi absolut.</w:t>
      </w:r>
    </w:p>
    <w:p>
      <w:pPr>
        <w:pStyle w:val="Heading1"/>
      </w:pPr>
      <w:r>
        <w:t>6. Pembaruan Data Pasca-Validasi</w:t>
      </w:r>
    </w:p>
    <w:p>
      <w:r>
        <w:t>Validasi pada Tahap 1 dan Tahap 2 (bagian 2 dan 4) dikerjakan terhadap snapshot data per awal September 2026: 14.040 baris scraping mentah, 11.152 di antaranya sudah diberi tag dimensi (integritas_korupsi, layanan_digital_ux, putusan_kontroversial). Setelah validasi selesai, data scraping diperbarui menjadi 30.532 baris mentah dan 24.196 baris bertag dimensi, dengan tambahan satu dimensi baru: kepercayaan_publik. Perbandingan berikut mengecek apakah kesimpulan yang sudah ditarik dari data lama masih berlaku pada data baru.</w:t>
      </w:r>
    </w:p>
    <w:p>
      <w:r>
        <w:rPr>
          <w:b/>
        </w:rPr>
        <w:t>Distribusi sentimen per dimensi (lama vs baru):</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Dimensi</w:t>
            </w:r>
          </w:p>
        </w:tc>
        <w:tc>
          <w:tcPr>
            <w:tcW w:type="dxa" w:w="1728"/>
          </w:tcPr>
          <w:p>
            <w:r>
              <w:rPr>
                <w:b/>
              </w:rPr>
              <w:t>n (lama)</w:t>
            </w:r>
          </w:p>
        </w:tc>
        <w:tc>
          <w:tcPr>
            <w:tcW w:type="dxa" w:w="1728"/>
          </w:tcPr>
          <w:p>
            <w:r>
              <w:rPr>
                <w:b/>
              </w:rPr>
              <w:t>%negatif (lama)</w:t>
            </w:r>
          </w:p>
        </w:tc>
        <w:tc>
          <w:tcPr>
            <w:tcW w:type="dxa" w:w="1728"/>
          </w:tcPr>
          <w:p>
            <w:r>
              <w:rPr>
                <w:b/>
              </w:rPr>
              <w:t>n (baru)</w:t>
            </w:r>
          </w:p>
        </w:tc>
        <w:tc>
          <w:tcPr>
            <w:tcW w:type="dxa" w:w="1728"/>
          </w:tcPr>
          <w:p>
            <w:r>
              <w:rPr>
                <w:b/>
              </w:rPr>
              <w:t>%negatif (baru)</w:t>
            </w:r>
          </w:p>
        </w:tc>
      </w:tr>
      <w:tr>
        <w:tc>
          <w:tcPr>
            <w:tcW w:type="dxa" w:w="1728"/>
          </w:tcPr>
          <w:p>
            <w:r>
              <w:t>integritas_korupsi</w:t>
            </w:r>
          </w:p>
        </w:tc>
        <w:tc>
          <w:tcPr>
            <w:tcW w:type="dxa" w:w="1728"/>
          </w:tcPr>
          <w:p>
            <w:r>
              <w:t>1.891</w:t>
            </w:r>
          </w:p>
        </w:tc>
        <w:tc>
          <w:tcPr>
            <w:tcW w:type="dxa" w:w="1728"/>
          </w:tcPr>
          <w:p>
            <w:r>
              <w:t>22,1%</w:t>
            </w:r>
          </w:p>
        </w:tc>
        <w:tc>
          <w:tcPr>
            <w:tcW w:type="dxa" w:w="1728"/>
          </w:tcPr>
          <w:p>
            <w:r>
              <w:t>9.224</w:t>
            </w:r>
          </w:p>
        </w:tc>
        <w:tc>
          <w:tcPr>
            <w:tcW w:type="dxa" w:w="1728"/>
          </w:tcPr>
          <w:p>
            <w:r>
              <w:t>18,0%</w:t>
            </w:r>
          </w:p>
        </w:tc>
      </w:tr>
      <w:tr>
        <w:tc>
          <w:tcPr>
            <w:tcW w:type="dxa" w:w="1728"/>
          </w:tcPr>
          <w:p>
            <w:r>
              <w:t>layanan_digital_ux</w:t>
            </w:r>
          </w:p>
        </w:tc>
        <w:tc>
          <w:tcPr>
            <w:tcW w:type="dxa" w:w="1728"/>
          </w:tcPr>
          <w:p>
            <w:r>
              <w:t>2.921</w:t>
            </w:r>
          </w:p>
        </w:tc>
        <w:tc>
          <w:tcPr>
            <w:tcW w:type="dxa" w:w="1728"/>
          </w:tcPr>
          <w:p>
            <w:r>
              <w:t>4,8%</w:t>
            </w:r>
          </w:p>
        </w:tc>
        <w:tc>
          <w:tcPr>
            <w:tcW w:type="dxa" w:w="1728"/>
          </w:tcPr>
          <w:p>
            <w:r>
              <w:t>3.097</w:t>
            </w:r>
          </w:p>
        </w:tc>
        <w:tc>
          <w:tcPr>
            <w:tcW w:type="dxa" w:w="1728"/>
          </w:tcPr>
          <w:p>
            <w:r>
              <w:t>4,6%</w:t>
            </w:r>
          </w:p>
        </w:tc>
      </w:tr>
      <w:tr>
        <w:tc>
          <w:tcPr>
            <w:tcW w:type="dxa" w:w="1728"/>
          </w:tcPr>
          <w:p>
            <w:r>
              <w:t>putusan_kontroversial</w:t>
            </w:r>
          </w:p>
        </w:tc>
        <w:tc>
          <w:tcPr>
            <w:tcW w:type="dxa" w:w="1728"/>
          </w:tcPr>
          <w:p>
            <w:r>
              <w:t>6.340</w:t>
            </w:r>
          </w:p>
        </w:tc>
        <w:tc>
          <w:tcPr>
            <w:tcW w:type="dxa" w:w="1728"/>
          </w:tcPr>
          <w:p>
            <w:r>
              <w:t>7,7%</w:t>
            </w:r>
          </w:p>
        </w:tc>
        <w:tc>
          <w:tcPr>
            <w:tcW w:type="dxa" w:w="1728"/>
          </w:tcPr>
          <w:p>
            <w:r>
              <w:t>6.995</w:t>
            </w:r>
          </w:p>
        </w:tc>
        <w:tc>
          <w:tcPr>
            <w:tcW w:type="dxa" w:w="1728"/>
          </w:tcPr>
          <w:p>
            <w:r>
              <w:t>7,7%</w:t>
            </w:r>
          </w:p>
        </w:tc>
      </w:tr>
      <w:tr>
        <w:tc>
          <w:tcPr>
            <w:tcW w:type="dxa" w:w="1728"/>
          </w:tcPr>
          <w:p>
            <w:r>
              <w:t>kepercayaan_publik (baru)</w:t>
            </w:r>
          </w:p>
        </w:tc>
        <w:tc>
          <w:tcPr>
            <w:tcW w:type="dxa" w:w="1728"/>
          </w:tcPr>
          <w:p>
            <w:r>
              <w:t>-</w:t>
            </w:r>
          </w:p>
        </w:tc>
        <w:tc>
          <w:tcPr>
            <w:tcW w:type="dxa" w:w="1728"/>
          </w:tcPr>
          <w:p>
            <w:r>
              <w:t>-</w:t>
            </w:r>
          </w:p>
        </w:tc>
        <w:tc>
          <w:tcPr>
            <w:tcW w:type="dxa" w:w="1728"/>
          </w:tcPr>
          <w:p>
            <w:r>
              <w:t>4.880</w:t>
            </w:r>
          </w:p>
        </w:tc>
        <w:tc>
          <w:tcPr>
            <w:tcW w:type="dxa" w:w="1728"/>
          </w:tcPr>
          <w:p>
            <w:r>
              <w:t>9,3%</w:t>
            </w:r>
          </w:p>
        </w:tc>
      </w:tr>
      <w:tr>
        <w:tc>
          <w:tcPr>
            <w:tcW w:type="dxa" w:w="1728"/>
          </w:tcPr>
          <w:p>
            <w:r>
              <w:t>Overall</w:t>
            </w:r>
          </w:p>
        </w:tc>
        <w:tc>
          <w:tcPr>
            <w:tcW w:type="dxa" w:w="1728"/>
          </w:tcPr>
          <w:p>
            <w:r>
              <w:t>11.152</w:t>
            </w:r>
          </w:p>
        </w:tc>
        <w:tc>
          <w:tcPr>
            <w:tcW w:type="dxa" w:w="1728"/>
          </w:tcPr>
          <w:p>
            <w:r>
              <w:t>9,4%</w:t>
            </w:r>
          </w:p>
        </w:tc>
        <w:tc>
          <w:tcPr>
            <w:tcW w:type="dxa" w:w="1728"/>
          </w:tcPr>
          <w:p>
            <w:r>
              <w:t>24.196</w:t>
            </w:r>
          </w:p>
        </w:tc>
        <w:tc>
          <w:tcPr>
            <w:tcW w:type="dxa" w:w="1728"/>
          </w:tcPr>
          <w:p>
            <w:r>
              <w:t>11,5%</w:t>
            </w:r>
          </w:p>
        </w:tc>
      </w:tr>
    </w:tbl>
    <w:p>
      <w:r>
        <w:rPr>
          <w:b/>
        </w:rPr>
        <w:t>Distribusi sentimen negatif per tahun (data baru):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Tahun</w:t>
            </w:r>
          </w:p>
        </w:tc>
        <w:tc>
          <w:tcPr>
            <w:tcW w:type="dxa" w:w="2880"/>
          </w:tcPr>
          <w:p>
            <w:r>
              <w:rPr>
                <w:b/>
              </w:rPr>
              <w:t>n</w:t>
            </w:r>
          </w:p>
        </w:tc>
        <w:tc>
          <w:tcPr>
            <w:tcW w:type="dxa" w:w="2880"/>
          </w:tcPr>
          <w:p>
            <w:r>
              <w:rPr>
                <w:b/>
              </w:rPr>
              <w:t>%negatif</w:t>
            </w:r>
          </w:p>
        </w:tc>
      </w:tr>
      <w:tr>
        <w:tc>
          <w:tcPr>
            <w:tcW w:type="dxa" w:w="2880"/>
          </w:tcPr>
          <w:p>
            <w:r>
              <w:t>2020</w:t>
            </w:r>
          </w:p>
        </w:tc>
        <w:tc>
          <w:tcPr>
            <w:tcW w:type="dxa" w:w="2880"/>
          </w:tcPr>
          <w:p>
            <w:r>
              <w:t>2.932</w:t>
            </w:r>
          </w:p>
        </w:tc>
        <w:tc>
          <w:tcPr>
            <w:tcW w:type="dxa" w:w="2880"/>
          </w:tcPr>
          <w:p>
            <w:r>
              <w:t>8,1%</w:t>
            </w:r>
          </w:p>
        </w:tc>
      </w:tr>
      <w:tr>
        <w:tc>
          <w:tcPr>
            <w:tcW w:type="dxa" w:w="2880"/>
          </w:tcPr>
          <w:p>
            <w:r>
              <w:t>2021</w:t>
            </w:r>
          </w:p>
        </w:tc>
        <w:tc>
          <w:tcPr>
            <w:tcW w:type="dxa" w:w="2880"/>
          </w:tcPr>
          <w:p>
            <w:r>
              <w:t>1.694</w:t>
            </w:r>
          </w:p>
        </w:tc>
        <w:tc>
          <w:tcPr>
            <w:tcW w:type="dxa" w:w="2880"/>
          </w:tcPr>
          <w:p>
            <w:r>
              <w:t>4,3%</w:t>
            </w:r>
          </w:p>
        </w:tc>
      </w:tr>
      <w:tr>
        <w:tc>
          <w:tcPr>
            <w:tcW w:type="dxa" w:w="2880"/>
          </w:tcPr>
          <w:p>
            <w:r>
              <w:t>2022</w:t>
            </w:r>
          </w:p>
        </w:tc>
        <w:tc>
          <w:tcPr>
            <w:tcW w:type="dxa" w:w="2880"/>
          </w:tcPr>
          <w:p>
            <w:r>
              <w:t>4.158</w:t>
            </w:r>
          </w:p>
        </w:tc>
        <w:tc>
          <w:tcPr>
            <w:tcW w:type="dxa" w:w="2880"/>
          </w:tcPr>
          <w:p>
            <w:r>
              <w:t>18,6%</w:t>
            </w:r>
          </w:p>
        </w:tc>
      </w:tr>
      <w:tr>
        <w:tc>
          <w:tcPr>
            <w:tcW w:type="dxa" w:w="2880"/>
          </w:tcPr>
          <w:p>
            <w:r>
              <w:t>2023</w:t>
            </w:r>
          </w:p>
        </w:tc>
        <w:tc>
          <w:tcPr>
            <w:tcW w:type="dxa" w:w="2880"/>
          </w:tcPr>
          <w:p>
            <w:r>
              <w:t>2.741</w:t>
            </w:r>
          </w:p>
        </w:tc>
        <w:tc>
          <w:tcPr>
            <w:tcW w:type="dxa" w:w="2880"/>
          </w:tcPr>
          <w:p>
            <w:r>
              <w:t>11,1%</w:t>
            </w:r>
          </w:p>
        </w:tc>
      </w:tr>
      <w:tr>
        <w:tc>
          <w:tcPr>
            <w:tcW w:type="dxa" w:w="2880"/>
          </w:tcPr>
          <w:p>
            <w:r>
              <w:t>2024</w:t>
            </w:r>
          </w:p>
        </w:tc>
        <w:tc>
          <w:tcPr>
            <w:tcW w:type="dxa" w:w="2880"/>
          </w:tcPr>
          <w:p>
            <w:r>
              <w:t>4.783</w:t>
            </w:r>
          </w:p>
        </w:tc>
        <w:tc>
          <w:tcPr>
            <w:tcW w:type="dxa" w:w="2880"/>
          </w:tcPr>
          <w:p>
            <w:r>
              <w:t>12,5%</w:t>
            </w:r>
          </w:p>
        </w:tc>
      </w:tr>
      <w:tr>
        <w:tc>
          <w:tcPr>
            <w:tcW w:type="dxa" w:w="2880"/>
          </w:tcPr>
          <w:p>
            <w:r>
              <w:t>2025</w:t>
            </w:r>
          </w:p>
        </w:tc>
        <w:tc>
          <w:tcPr>
            <w:tcW w:type="dxa" w:w="2880"/>
          </w:tcPr>
          <w:p>
            <w:r>
              <w:t>4.424</w:t>
            </w:r>
          </w:p>
        </w:tc>
        <w:tc>
          <w:tcPr>
            <w:tcW w:type="dxa" w:w="2880"/>
          </w:tcPr>
          <w:p>
            <w:r>
              <w:t>12,5%</w:t>
            </w:r>
          </w:p>
        </w:tc>
      </w:tr>
      <w:tr>
        <w:tc>
          <w:tcPr>
            <w:tcW w:type="dxa" w:w="2880"/>
          </w:tcPr>
          <w:p>
            <w:r>
              <w:t>2026</w:t>
            </w:r>
          </w:p>
        </w:tc>
        <w:tc>
          <w:tcPr>
            <w:tcW w:type="dxa" w:w="2880"/>
          </w:tcPr>
          <w:p>
            <w:r>
              <w:t>3.464</w:t>
            </w:r>
          </w:p>
        </w:tc>
        <w:tc>
          <w:tcPr>
            <w:tcW w:type="dxa" w:w="2880"/>
          </w:tcPr>
          <w:p>
            <w:r>
              <w:t>7,3%</w:t>
            </w:r>
          </w:p>
        </w:tc>
      </w:tr>
    </w:tbl>
    <w:p>
      <w:r>
        <w:t>Kesimpulan inti dari validasi awal tetap berlaku pada data yang diperbarui: layanan_digital_ux konsisten menjadi dimensi dengan proporsi negatif paling rendah (4,6%, sebelumnya 4,8%), jauh di bawah integritas_korupsi (18,0%) yang tetap menjadi dimensi paling negatif. Kenaikan %negatif overall (9,4% menjadi 11,5%) sejalan dengan temuan Tahap 2 bahwa classifier asli cenderung under-count kelas negatif (recall 57,9%), sehingga kenaikan ini lebih mungkin mencerminkan sinyal negatif yang makin terlihat seiring bertambahnya data, bukan penurunan reputasi yang nyata. Sebagai temuan tambahan, tahun 2022 menonjol sebagai puncak sentimen negatif (18,6%), jauh di atas tahun-tahun lain.</w:t>
      </w:r>
    </w:p>
    <w:p>
      <w:pPr>
        <w:pStyle w:val="Heading2"/>
      </w:pPr>
      <w:r>
        <w:t>6.1 Gold Standard v2 (Data Diperbarui)</w:t>
      </w:r>
    </w:p>
    <w:p>
      <w:r>
        <w:t>Sampel baru diambil dengan stratifikasi silang 4 dimensi x 3 kelas sentimen (25 sampel/sel, 300 total), agar setiap dimensi - termasuk kepercayaan_publik - terwakili. Dua rater independen (rater 1: Amir, rater 2: Ilham Akbar Tauhid) melabel seluruh sampel tanpa melihat label satu sama lain maupun label classifier.</w:t>
      </w:r>
    </w:p>
    <w:p>
      <w:r>
        <w:t>Percobaan pertama menghasilkan kesepakatan sangat rendah (kappa 0,116, kategori slight). Pemeriksaan pola disagreement menunjukkan kedua rater memakai kriteria berbeda: rater 1 sempat melabel berdasarkan valensi topik (topik korupsi otomatis negatif), sementara rater 2 melabel berdasarkan sikap yang diekspresikan komentar itu sendiri. Setelah kriteria disamakan (negatif hanya jika komentar itu sendiri mengekspresikan sikap negatif, bukan sekadar membahas topik negatif) dan rater 1 melabel ulang, kesepakatan naik menjadi kappa 0,824 (excellent).</w:t>
      </w:r>
    </w:p>
    <w:p>
      <w:r>
        <w:rPr>
          <w:b/>
        </w:rPr>
        <w:t>Inter-rater reliability (setelah kalibrasi):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Metrik</w:t>
            </w:r>
          </w:p>
        </w:tc>
        <w:tc>
          <w:tcPr>
            <w:tcW w:type="dxa" w:w="4320"/>
          </w:tcPr>
          <w:p>
            <w:r>
              <w:rPr>
                <w:b/>
              </w:rPr>
              <w:t>Nilai</w:t>
            </w:r>
          </w:p>
        </w:tc>
      </w:tr>
      <w:tr>
        <w:tc>
          <w:tcPr>
            <w:tcW w:type="dxa" w:w="4320"/>
          </w:tcPr>
          <w:p>
            <w:r>
              <w:t>n</w:t>
            </w:r>
          </w:p>
        </w:tc>
        <w:tc>
          <w:tcPr>
            <w:tcW w:type="dxa" w:w="4320"/>
          </w:tcPr>
          <w:p>
            <w:r>
              <w:t>300</w:t>
            </w:r>
          </w:p>
        </w:tc>
      </w:tr>
      <w:tr>
        <w:tc>
          <w:tcPr>
            <w:tcW w:type="dxa" w:w="4320"/>
          </w:tcPr>
          <w:p>
            <w:r>
              <w:t>Observed agreement</w:t>
            </w:r>
          </w:p>
        </w:tc>
        <w:tc>
          <w:tcPr>
            <w:tcW w:type="dxa" w:w="4320"/>
          </w:tcPr>
          <w:p>
            <w:r>
              <w:t>89,0%</w:t>
            </w:r>
          </w:p>
        </w:tc>
      </w:tr>
      <w:tr>
        <w:tc>
          <w:tcPr>
            <w:tcW w:type="dxa" w:w="4320"/>
          </w:tcPr>
          <w:p>
            <w:r>
              <w:t>Cohen's kappa</w:t>
            </w:r>
          </w:p>
        </w:tc>
        <w:tc>
          <w:tcPr>
            <w:tcW w:type="dxa" w:w="4320"/>
          </w:tcPr>
          <w:p>
            <w:r>
              <w:t>0,824</w:t>
            </w:r>
          </w:p>
        </w:tc>
      </w:tr>
      <w:tr>
        <w:tc>
          <w:tcPr>
            <w:tcW w:type="dxa" w:w="4320"/>
          </w:tcPr>
          <w:p>
            <w:r>
              <w:t>Interpretasi (Landis &amp; Koch, 1977)</w:t>
            </w:r>
          </w:p>
        </w:tc>
        <w:tc>
          <w:tcPr>
            <w:tcW w:type="dxa" w:w="4320"/>
          </w:tcPr>
          <w:p>
            <w:r>
              <w:t>Excellent (almost perfect)</w:t>
            </w:r>
          </w:p>
        </w:tc>
      </w:tr>
    </w:tbl>
    <w:p>
      <w:r>
        <w:t>Dari 300 sampel, kedua rater sepakat pada 267 baris (89,0%); 33 baris yang tidak sepakat dikeluarkan dari perhitungan berikutnya.</w:t>
      </w:r>
    </w:p>
    <w:p>
      <w:r>
        <w:rPr>
          <w:b/>
        </w:rPr>
        <w:t>Classifier asli vs Gold Standard v2 (267 baris konsensus):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Metrik</w:t>
            </w:r>
          </w:p>
        </w:tc>
        <w:tc>
          <w:tcPr>
            <w:tcW w:type="dxa" w:w="4320"/>
          </w:tcPr>
          <w:p>
            <w:r>
              <w:rPr>
                <w:b/>
              </w:rPr>
              <w:t>Nilai</w:t>
            </w:r>
          </w:p>
        </w:tc>
      </w:tr>
      <w:tr>
        <w:tc>
          <w:tcPr>
            <w:tcW w:type="dxa" w:w="4320"/>
          </w:tcPr>
          <w:p>
            <w:r>
              <w:t>n</w:t>
            </w:r>
          </w:p>
        </w:tc>
        <w:tc>
          <w:tcPr>
            <w:tcW w:type="dxa" w:w="4320"/>
          </w:tcPr>
          <w:p>
            <w:r>
              <w:t>267</w:t>
            </w:r>
          </w:p>
        </w:tc>
      </w:tr>
      <w:tr>
        <w:tc>
          <w:tcPr>
            <w:tcW w:type="dxa" w:w="4320"/>
          </w:tcPr>
          <w:p>
            <w:r>
              <w:t>Accuracy</w:t>
            </w:r>
          </w:p>
        </w:tc>
        <w:tc>
          <w:tcPr>
            <w:tcW w:type="dxa" w:w="4320"/>
          </w:tcPr>
          <w:p>
            <w:r>
              <w:t>71,2%</w:t>
            </w:r>
          </w:p>
        </w:tc>
      </w:tr>
      <w:tr>
        <w:tc>
          <w:tcPr>
            <w:tcW w:type="dxa" w:w="4320"/>
          </w:tcPr>
          <w:p>
            <w:r>
              <w:t>Cohen's kappa</w:t>
            </w:r>
          </w:p>
        </w:tc>
        <w:tc>
          <w:tcPr>
            <w:tcW w:type="dxa" w:w="4320"/>
          </w:tcPr>
          <w:p>
            <w:r>
              <w:t>0,565</w:t>
            </w:r>
          </w:p>
        </w:tc>
      </w:tr>
      <w:tr>
        <w:tc>
          <w:tcPr>
            <w:tcW w:type="dxa" w:w="4320"/>
          </w:tcPr>
          <w:p>
            <w:r>
              <w:t>Interpretasi (Landis &amp; Koch, 1977)</w:t>
            </w:r>
          </w:p>
        </w:tc>
        <w:tc>
          <w:tcPr>
            <w:tcW w:type="dxa" w:w="4320"/>
          </w:tcPr>
          <w:p>
            <w:r>
              <w:t>Moderate</w:t>
            </w:r>
          </w:p>
        </w:tc>
      </w:tr>
    </w:tbl>
    <w:p>
      <w:r>
        <w:rPr>
          <w:b/>
        </w:rPr>
        <w:t>Confusion matrix (baris = gold standard v2, kolom = classifier asli):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Gold \ Classifier</w:t>
            </w:r>
          </w:p>
        </w:tc>
        <w:tc>
          <w:tcPr>
            <w:tcW w:type="dxa" w:w="2160"/>
          </w:tcPr>
          <w:p>
            <w:r>
              <w:rPr>
                <w:b/>
              </w:rPr>
              <w:t>positif</w:t>
            </w:r>
          </w:p>
        </w:tc>
        <w:tc>
          <w:tcPr>
            <w:tcW w:type="dxa" w:w="2160"/>
          </w:tcPr>
          <w:p>
            <w:r>
              <w:rPr>
                <w:b/>
              </w:rPr>
              <w:t>netral</w:t>
            </w:r>
          </w:p>
        </w:tc>
        <w:tc>
          <w:tcPr>
            <w:tcW w:type="dxa" w:w="2160"/>
          </w:tcPr>
          <w:p>
            <w:r>
              <w:rPr>
                <w:b/>
              </w:rPr>
              <w:t>negatif</w:t>
            </w:r>
          </w:p>
        </w:tc>
      </w:tr>
      <w:tr>
        <w:tc>
          <w:tcPr>
            <w:tcW w:type="dxa" w:w="2160"/>
          </w:tcPr>
          <w:p>
            <w:r>
              <w:t>positif</w:t>
            </w:r>
          </w:p>
        </w:tc>
        <w:tc>
          <w:tcPr>
            <w:tcW w:type="dxa" w:w="2160"/>
          </w:tcPr>
          <w:p>
            <w:r>
              <w:t>70</w:t>
            </w:r>
          </w:p>
        </w:tc>
        <w:tc>
          <w:tcPr>
            <w:tcW w:type="dxa" w:w="2160"/>
          </w:tcPr>
          <w:p>
            <w:r>
              <w:t>9</w:t>
            </w:r>
          </w:p>
        </w:tc>
        <w:tc>
          <w:tcPr>
            <w:tcW w:type="dxa" w:w="2160"/>
          </w:tcPr>
          <w:p>
            <w:r>
              <w:t>2</w:t>
            </w:r>
          </w:p>
        </w:tc>
      </w:tr>
      <w:tr>
        <w:tc>
          <w:tcPr>
            <w:tcW w:type="dxa" w:w="2160"/>
          </w:tcPr>
          <w:p>
            <w:r>
              <w:t>netral</w:t>
            </w:r>
          </w:p>
        </w:tc>
        <w:tc>
          <w:tcPr>
            <w:tcW w:type="dxa" w:w="2160"/>
          </w:tcPr>
          <w:p>
            <w:r>
              <w:t>21</w:t>
            </w:r>
          </w:p>
        </w:tc>
        <w:tc>
          <w:tcPr>
            <w:tcW w:type="dxa" w:w="2160"/>
          </w:tcPr>
          <w:p>
            <w:r>
              <w:t>74</w:t>
            </w:r>
          </w:p>
        </w:tc>
        <w:tc>
          <w:tcPr>
            <w:tcW w:type="dxa" w:w="2160"/>
          </w:tcPr>
          <w:p>
            <w:r>
              <w:t>37</w:t>
            </w:r>
          </w:p>
        </w:tc>
      </w:tr>
      <w:tr>
        <w:tc>
          <w:tcPr>
            <w:tcW w:type="dxa" w:w="2160"/>
          </w:tcPr>
          <w:p>
            <w:r>
              <w:t>negatif</w:t>
            </w:r>
          </w:p>
        </w:tc>
        <w:tc>
          <w:tcPr>
            <w:tcW w:type="dxa" w:w="2160"/>
          </w:tcPr>
          <w:p>
            <w:r>
              <w:t>0</w:t>
            </w:r>
          </w:p>
        </w:tc>
        <w:tc>
          <w:tcPr>
            <w:tcW w:type="dxa" w:w="2160"/>
          </w:tcPr>
          <w:p>
            <w:r>
              <w:t>8</w:t>
            </w:r>
          </w:p>
        </w:tc>
        <w:tc>
          <w:tcPr>
            <w:tcW w:type="dxa" w:w="2160"/>
          </w:tcPr>
          <w:p>
            <w:r>
              <w:t>46</w:t>
            </w:r>
          </w:p>
        </w:tc>
      </w:tr>
    </w:tbl>
    <w:p>
      <w:r>
        <w:rPr>
          <w:b/>
        </w:rPr>
        <w:t>Precision / Recall / F1 per kelas: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Kelas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n (gold)</w:t>
            </w:r>
          </w:p>
        </w:tc>
      </w:tr>
      <w:tr>
        <w:tc>
          <w:tcPr>
            <w:tcW w:type="dxa" w:w="1728"/>
          </w:tcPr>
          <w:p>
            <w:r>
              <w:t>positif</w:t>
            </w:r>
          </w:p>
        </w:tc>
        <w:tc>
          <w:tcPr>
            <w:tcW w:type="dxa" w:w="1728"/>
          </w:tcPr>
          <w:p>
            <w:r>
              <w:t>76,9%</w:t>
            </w:r>
          </w:p>
        </w:tc>
        <w:tc>
          <w:tcPr>
            <w:tcW w:type="dxa" w:w="1728"/>
          </w:tcPr>
          <w:p>
            <w:r>
              <w:t>86,4%</w:t>
            </w:r>
          </w:p>
        </w:tc>
        <w:tc>
          <w:tcPr>
            <w:tcW w:type="dxa" w:w="1728"/>
          </w:tcPr>
          <w:p>
            <w:r>
              <w:t>81,4%</w:t>
            </w:r>
          </w:p>
        </w:tc>
        <w:tc>
          <w:tcPr>
            <w:tcW w:type="dxa" w:w="1728"/>
          </w:tcPr>
          <w:p>
            <w:r>
              <w:t>81</w:t>
            </w:r>
          </w:p>
        </w:tc>
      </w:tr>
      <w:tr>
        <w:tc>
          <w:tcPr>
            <w:tcW w:type="dxa" w:w="1728"/>
          </w:tcPr>
          <w:p>
            <w:r>
              <w:t>netral</w:t>
            </w:r>
          </w:p>
        </w:tc>
        <w:tc>
          <w:tcPr>
            <w:tcW w:type="dxa" w:w="1728"/>
          </w:tcPr>
          <w:p>
            <w:r>
              <w:t>81,3%</w:t>
            </w:r>
          </w:p>
        </w:tc>
        <w:tc>
          <w:tcPr>
            <w:tcW w:type="dxa" w:w="1728"/>
          </w:tcPr>
          <w:p>
            <w:r>
              <w:t>56,1%</w:t>
            </w:r>
          </w:p>
        </w:tc>
        <w:tc>
          <w:tcPr>
            <w:tcW w:type="dxa" w:w="1728"/>
          </w:tcPr>
          <w:p>
            <w:r>
              <w:t>66,4%</w:t>
            </w:r>
          </w:p>
        </w:tc>
        <w:tc>
          <w:tcPr>
            <w:tcW w:type="dxa" w:w="1728"/>
          </w:tcPr>
          <w:p>
            <w:r>
              <w:t>132</w:t>
            </w:r>
          </w:p>
        </w:tc>
      </w:tr>
      <w:tr>
        <w:tc>
          <w:tcPr>
            <w:tcW w:type="dxa" w:w="1728"/>
          </w:tcPr>
          <w:p>
            <w:r>
              <w:t>negatif</w:t>
            </w:r>
          </w:p>
        </w:tc>
        <w:tc>
          <w:tcPr>
            <w:tcW w:type="dxa" w:w="1728"/>
          </w:tcPr>
          <w:p>
            <w:r>
              <w:t>54,1%</w:t>
            </w:r>
          </w:p>
        </w:tc>
        <w:tc>
          <w:tcPr>
            <w:tcW w:type="dxa" w:w="1728"/>
          </w:tcPr>
          <w:p>
            <w:r>
              <w:t>85,2%</w:t>
            </w:r>
          </w:p>
        </w:tc>
        <w:tc>
          <w:tcPr>
            <w:tcW w:type="dxa" w:w="1728"/>
          </w:tcPr>
          <w:p>
            <w:r>
              <w:t>66,2%</w:t>
            </w:r>
          </w:p>
        </w:tc>
        <w:tc>
          <w:tcPr>
            <w:tcW w:type="dxa" w:w="1728"/>
          </w:tcPr>
          <w:p>
            <w:r>
              <w:t>54</w:t>
            </w:r>
          </w:p>
        </w:tc>
      </w:tr>
    </w:tbl>
    <w:p>
      <w:r>
        <w:rPr>
          <w:b/>
        </w:rPr>
        <w:t>Breakdown per dimensi:</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Dimensi</w:t>
            </w:r>
          </w:p>
        </w:tc>
        <w:tc>
          <w:tcPr>
            <w:tcW w:type="dxa" w:w="1728"/>
          </w:tcPr>
          <w:p>
            <w:r>
              <w:rPr>
                <w:b/>
              </w:rPr>
              <w:t>n</w:t>
            </w:r>
          </w:p>
        </w:tc>
        <w:tc>
          <w:tcPr>
            <w:tcW w:type="dxa" w:w="1728"/>
          </w:tcPr>
          <w:p>
            <w:r>
              <w:rPr>
                <w:b/>
              </w:rPr>
              <w:t>Accuracy</w:t>
            </w:r>
          </w:p>
        </w:tc>
        <w:tc>
          <w:tcPr>
            <w:tcW w:type="dxa" w:w="1728"/>
          </w:tcPr>
          <w:p>
            <w:r>
              <w:rPr>
                <w:b/>
              </w:rPr>
              <w:t>Cohen's kappa</w:t>
            </w:r>
          </w:p>
        </w:tc>
        <w:tc>
          <w:tcPr>
            <w:tcW w:type="dxa" w:w="1728"/>
          </w:tcPr>
          <w:p>
            <w:r>
              <w:rPr>
                <w:b/>
              </w:rPr>
              <w:t>Interpretasi</w:t>
            </w:r>
          </w:p>
        </w:tc>
      </w:tr>
      <w:tr>
        <w:tc>
          <w:tcPr>
            <w:tcW w:type="dxa" w:w="1728"/>
          </w:tcPr>
          <w:p>
            <w:r>
              <w:t>integritas_korupsi</w:t>
            </w:r>
          </w:p>
        </w:tc>
        <w:tc>
          <w:tcPr>
            <w:tcW w:type="dxa" w:w="1728"/>
          </w:tcPr>
          <w:p>
            <w:r>
              <w:t>67</w:t>
            </w:r>
          </w:p>
        </w:tc>
        <w:tc>
          <w:tcPr>
            <w:tcW w:type="dxa" w:w="1728"/>
          </w:tcPr>
          <w:p>
            <w:r>
              <w:t>76,1%</w:t>
            </w:r>
          </w:p>
        </w:tc>
        <w:tc>
          <w:tcPr>
            <w:tcW w:type="dxa" w:w="1728"/>
          </w:tcPr>
          <w:p>
            <w:r>
              <w:t>0,639</w:t>
            </w:r>
          </w:p>
        </w:tc>
        <w:tc>
          <w:tcPr>
            <w:tcW w:type="dxa" w:w="1728"/>
          </w:tcPr>
          <w:p>
            <w:r>
              <w:t>Substantial</w:t>
            </w:r>
          </w:p>
        </w:tc>
      </w:tr>
      <w:tr>
        <w:tc>
          <w:tcPr>
            <w:tcW w:type="dxa" w:w="1728"/>
          </w:tcPr>
          <w:p>
            <w:r>
              <w:t>layanan_digital_ux</w:t>
            </w:r>
          </w:p>
        </w:tc>
        <w:tc>
          <w:tcPr>
            <w:tcW w:type="dxa" w:w="1728"/>
          </w:tcPr>
          <w:p>
            <w:r>
              <w:t>67</w:t>
            </w:r>
          </w:p>
        </w:tc>
        <w:tc>
          <w:tcPr>
            <w:tcW w:type="dxa" w:w="1728"/>
          </w:tcPr>
          <w:p>
            <w:r>
              <w:t>70,1%</w:t>
            </w:r>
          </w:p>
        </w:tc>
        <w:tc>
          <w:tcPr>
            <w:tcW w:type="dxa" w:w="1728"/>
          </w:tcPr>
          <w:p>
            <w:r>
              <w:t>0,548</w:t>
            </w:r>
          </w:p>
        </w:tc>
        <w:tc>
          <w:tcPr>
            <w:tcW w:type="dxa" w:w="1728"/>
          </w:tcPr>
          <w:p>
            <w:r>
              <w:t>Moderate</w:t>
            </w:r>
          </w:p>
        </w:tc>
      </w:tr>
      <w:tr>
        <w:tc>
          <w:tcPr>
            <w:tcW w:type="dxa" w:w="1728"/>
          </w:tcPr>
          <w:p>
            <w:r>
              <w:t>putusan_kontroversial</w:t>
            </w:r>
          </w:p>
        </w:tc>
        <w:tc>
          <w:tcPr>
            <w:tcW w:type="dxa" w:w="1728"/>
          </w:tcPr>
          <w:p>
            <w:r>
              <w:t>63</w:t>
            </w:r>
          </w:p>
        </w:tc>
        <w:tc>
          <w:tcPr>
            <w:tcW w:type="dxa" w:w="1728"/>
          </w:tcPr>
          <w:p>
            <w:r>
              <w:t>66,7%</w:t>
            </w:r>
          </w:p>
        </w:tc>
        <w:tc>
          <w:tcPr>
            <w:tcW w:type="dxa" w:w="1728"/>
          </w:tcPr>
          <w:p>
            <w:r>
              <w:t>0,494</w:t>
            </w:r>
          </w:p>
        </w:tc>
        <w:tc>
          <w:tcPr>
            <w:tcW w:type="dxa" w:w="1728"/>
          </w:tcPr>
          <w:p>
            <w:r>
              <w:t>Moderate</w:t>
            </w:r>
          </w:p>
        </w:tc>
      </w:tr>
      <w:tr>
        <w:tc>
          <w:tcPr>
            <w:tcW w:type="dxa" w:w="1728"/>
          </w:tcPr>
          <w:p>
            <w:r>
              <w:t>kepercayaan_publik</w:t>
            </w:r>
          </w:p>
        </w:tc>
        <w:tc>
          <w:tcPr>
            <w:tcW w:type="dxa" w:w="1728"/>
          </w:tcPr>
          <w:p>
            <w:r>
              <w:t>70</w:t>
            </w:r>
          </w:p>
        </w:tc>
        <w:tc>
          <w:tcPr>
            <w:tcW w:type="dxa" w:w="1728"/>
          </w:tcPr>
          <w:p>
            <w:r>
              <w:t>71,4%</w:t>
            </w:r>
          </w:p>
        </w:tc>
        <w:tc>
          <w:tcPr>
            <w:tcW w:type="dxa" w:w="1728"/>
          </w:tcPr>
          <w:p>
            <w:r>
              <w:t>0,571</w:t>
            </w:r>
          </w:p>
        </w:tc>
        <w:tc>
          <w:tcPr>
            <w:tcW w:type="dxa" w:w="1728"/>
          </w:tcPr>
          <w:p>
            <w:r>
              <w:t>Moderate</w:t>
            </w:r>
          </w:p>
        </w:tc>
      </w:tr>
    </w:tbl>
    <w:p>
      <w:r>
        <w:t>Hasil ini menguatkan validasi Tahap 2 sebelumnya (kappa 0,535 pada data lama): classifier tetap berada pada level moderate (0,565 pada data baru), dengan pola bias yang sama - recall netral rendah (56,1%) karena banyak komentar negatif dan positif yang terdorong masuk kelas netral, sementara precision negatif ikut turun (54,1%) akibat pola yang sama pada sisi sebaliknya. Dimensi kepercayaan_publik, yang sebelumnya belum pernah divalidasi, berada pada level moderate (kappa 0,571) - sebanding dengan tiga dimensi lain, tidak menunjukkan masalah validitas tambahan.</w:t>
      </w:r>
    </w:p>
    <w:p>
      <w:r>
        <w:rPr>
          <w:i/>
        </w:rPr>
        <w:t>Catatan metodologis: sampel gold standard 300 baris pada Tahap 2 (bagian 4.2) diambil dari data lama dan proporsinya terhadap data baru menurun. Rekomendasi saat itu adalah menarik sampel gold standard baru dari dataset yang sudah diperbarui, termasuk untuk dimensi kepercayaan_publik yang belum pernah divalidasi. Bagian berikut melaporkan hasil validasi tersebut.</w:t>
      </w:r>
    </w:p>
    <w:p/>
    <w:p>
      <w:pPr>
        <w:pStyle w:val="Heading1"/>
      </w:pPr>
      <w:r>
        <w:t>7. Referensi</w:t>
      </w:r>
    </w:p>
    <w:p>
      <w:r>
        <w:rPr>
          <w:b w:val="0"/>
          <w:i w:val="0"/>
        </w:rPr>
        <w:t>van Atteveldt, W., van der Velden, M., &amp; Boukes, M. (2021). "The Validity of Sentiment Analysis: Comparing Manual Annotation, Crowd-Coding, Dictionary Approaches, and Machine Learning Algorithms." Communication Methods and Measures, 15(2), 121-140. https://doi.org/10.1080/19312458.2020.1869198</w:t>
      </w:r>
    </w:p>
    <w:p>
      <w:r>
        <w:rPr>
          <w:b w:val="0"/>
          <w:i w:val="0"/>
        </w:rPr>
        <w:t>Koto, F., &amp; Rahmaningtyas, G. Y. (2017). "InSet Lexicon: Evaluation of a Word List for Indonesian Sentiment Analysis in Microblogs." Proceedings of the 21st International Conference on Asian Language Processing (IALP), IEEE, Singapore.</w:t>
      </w:r>
    </w:p>
    <w:p>
      <w:r>
        <w:rPr>
          <w:b w:val="0"/>
          <w:i w:val="0"/>
        </w:rPr>
        <w:t>Landis, J. R., &amp; Koch, G. G. (1977). "The Measurement of Observer Agreement for Categorical Data." Biometrics, 33(1), 159-174. https://doi.org/10.2307/2529310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