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2F"/>
          <w:sz w:val="56"/>
        </w:rPr>
        <w:t>LAPORAN</w:t>
      </w:r>
    </w:p>
    <w:p/>
    <w:p/>
    <w:p/>
    <w:p/>
    <w:p>
      <w:pPr>
        <w:jc w:val="center"/>
      </w:pPr>
      <w:r>
        <w:rPr>
          <w:b/>
          <w:color w:val="1E3A2F"/>
          <w:sz w:val="36"/>
        </w:rPr>
        <w:t>EVALUASI DAN PERANCANGAN ULANG WEBSITE</w:t>
        <w:br/>
        <w:t>MAHKAMAH AGUNG REPUBLIK INDONESIA</w:t>
      </w:r>
    </w:p>
    <w:p/>
    <w:p>
      <w:pPr>
        <w:jc w:val="center"/>
      </w:pPr>
      <w:r>
        <w:rPr>
          <w:i/>
          <w:sz w:val="26"/>
        </w:rPr>
        <w:t>Mata Kuliah Interaksi Manusia dan Komputer</w:t>
      </w:r>
    </w:p>
    <w:p/>
    <w:p/>
    <w:p/>
    <w:p/>
    <w:p/>
    <w:p/>
    <w:p>
      <w:pPr>
        <w:jc w:val="center"/>
      </w:pPr>
      <w:r>
        <w:rPr>
          <w:b/>
          <w:color w:val="C9A84C"/>
          <w:sz w:val="32"/>
        </w:rPr>
        <w:t>KELOMPOK 10</w:t>
      </w:r>
    </w:p>
    <w:p/>
    <w:p>
      <w:pPr>
        <w:jc w:val="center"/>
      </w:pPr>
      <w:r>
        <w:rPr>
          <w:sz w:val="24"/>
        </w:rPr>
        <w:t>Amir Syaifudin — 222312968</w:t>
      </w:r>
    </w:p>
    <w:p>
      <w:pPr>
        <w:jc w:val="center"/>
      </w:pPr>
      <w:r>
        <w:rPr>
          <w:sz w:val="24"/>
        </w:rPr>
        <w:t>Ilham Akbar Tauhid — 222313132</w:t>
      </w:r>
    </w:p>
    <w:p>
      <w:r>
        <w:br w:type="page"/>
      </w:r>
    </w:p>
    <w:p>
      <w:pPr>
        <w:pStyle w:val="Heading1"/>
      </w:pPr>
      <w:r>
        <w:rPr>
          <w:color w:val="1E3A2F"/>
        </w:rPr>
        <w:t>1. Latar Belakang</w:t>
      </w:r>
    </w:p>
    <w:p>
      <w:r>
        <w:rPr>
          <w:b w:val="0"/>
          <w:i w:val="0"/>
        </w:rPr>
      </w:r>
    </w:p>
    <w:p>
      <w:r>
        <w:br w:type="page"/>
      </w:r>
    </w:p>
    <w:p>
      <w:pPr>
        <w:pStyle w:val="Heading1"/>
      </w:pPr>
      <w:r>
        <w:rPr>
          <w:color w:val="1E3A2F"/>
        </w:rPr>
        <w:t>2. Penjelasan Website Kita</w:t>
      </w:r>
    </w:p>
    <w:p>
      <w:r>
        <w:rPr>
          <w:b w:val="0"/>
          <w:i w:val="0"/>
        </w:rPr>
        <w:t>Proyek ini merupakan implementasi hasil evaluasi dan perancangan ulang (redesign) tampilan serta pengalaman pengguna dari website resmi Mahkamah Agung Republik Indonesia. Rancangan visual (desain UI) disusun terlebih dahulu di Figma, kemudian diimplementasikan menjadi kode program menggunakan React, TypeScript, Vite, dan Tailwind CSS agar dapat berjalan sebagai aplikasi web yang interaktif dan dapat diuji langsung oleh pengguna.</w:t>
      </w:r>
    </w:p>
    <w:p>
      <w:r>
        <w:rPr>
          <w:b w:val="0"/>
          <w:i w:val="0"/>
        </w:rPr>
        <w:t>Website asli Mahkamah Agung berfungsi sebagai kanal informasi resmi yang memuat kebijakan dan regulasi (Peraturan MA/PERMA, Surat Edaran MA/SEMA, Surat Keputusan MA/SKM), informasi perkara dan putusan pengadilan, jadwal sidang, serta layanan pengaduan masyarakat. Berdasarkan hasil evaluasi heuristik yang dijabarkan pada bab berikutnya, tim menemukan beberapa masalah utama pada navigasi, tata letak beranda, dan fitur pencarian, sehingga dirancang ulang beberapa bagian utama berikut pada versi baru:</w:t>
      </w:r>
    </w:p>
    <w:p>
      <w:r>
        <w:rPr>
          <w:b w:val="0"/>
          <w:i/>
        </w:rPr>
        <w:t>Konteks kebijakan digitalisasi peradilan (electronic court) di Mahkamah Agung yang melatarbelakangi pentingnya kualitas layanan digital ini turut dibahas pada penelitian Ariwijaya &amp; Samputra (2023) mengenai evaluasi kebijakan e-court Mahkamah Agung Republik Indonesia.</w:t>
      </w:r>
    </w:p>
    <w:p>
      <w:pPr>
        <w:pStyle w:val="ListBullet"/>
      </w:pPr>
      <w:r>
        <w:t>Navbar (menu navigasi) — direstrukturisasi agar label lebih konsisten dan tidak ambigu, termasuk penambahan submenu Informasi dan Layanan Digital.</w:t>
      </w:r>
    </w:p>
    <w:p>
      <w:pPr>
        <w:pStyle w:val="ListBullet"/>
      </w:pPr>
      <w:r>
        <w:t>Homepage (Beranda) — disusun ulang dengan hierarki yang jelas: Hero section berisi tagline dan tiga fitur utama (Cek Putusan, Cek Status Perkara, Hubungi Pengadilan), section Layanan, dan section Berita.</w:t>
      </w:r>
    </w:p>
    <w:p>
      <w:pPr>
        <w:pStyle w:val="ListBullet"/>
      </w:pPr>
      <w:r>
        <w:t>Pencarian Terpadu (Global Search) — fitur pencarian perkara dibuat lebih membantu dengan filter dan tampilan hasil yang lebih jelas.</w:t>
      </w:r>
    </w:p>
    <w:p>
      <w:pPr>
        <w:pStyle w:val="ListBullet"/>
      </w:pPr>
      <w:r>
        <w:t>Jadwal Sidang — halaman kalender bulanan dan daftar agenda sidang yang lebih terintegrasi dengan ekosistem utama website.</w:t>
      </w:r>
    </w:p>
    <w:p>
      <w:pPr>
        <w:pStyle w:val="ListBullet"/>
      </w:pPr>
      <w:r>
        <w:t>Halaman Bantuan (FAQ) — halaman baru berisi kumpulan pertanyaan umum (FAQ) dan glosarium istilah hukum untuk memudahkan pengguna awam.</w:t>
      </w:r>
    </w:p>
    <w:p>
      <w:r>
        <w:rPr>
          <w:b w:val="0"/>
          <w:i w:val="0"/>
        </w:rPr>
        <w:t>Struktur folder utama proyek terdiri dari halaman (pages) seperti Homepage, SearchPage, JadwalSidang, FAQPage, InformationPage, dan PengaduanPage, serta komponen (components) yang dapat digunakan kembali seperti Navbar, Footer, GlobalSearchBar, CalendarGrid, ServiceCard, dan NewsCard. Dengan pendekatan ini, perbaikan yang diusulkan pada tahap evaluasi dapat langsung dirasakan sebagai pengalaman nyata melalui purwarupa (prototype) fungsional, bukan hanya berupa mockup statis.</w:t>
      </w:r>
    </w:p>
    <w:p>
      <w:r>
        <w:br w:type="page"/>
      </w:r>
    </w:p>
    <w:p>
      <w:pPr>
        <w:pStyle w:val="Heading1"/>
      </w:pPr>
      <w:r>
        <w:rPr>
          <w:color w:val="1E3A2F"/>
        </w:rPr>
        <w:t>3. Profil Website</w:t>
      </w:r>
    </w:p>
    <w:p>
      <w:r>
        <w:rPr>
          <w:b w:val="0"/>
          <w:i w:val="0"/>
        </w:rPr>
        <w:t>Mahkamah Agung adalah lembaga tinggi negara yang memegang kekuasaan kehakiman sebagai kekuasaan yang merdeka untuk menyelenggarakan peradilan guna menegakkan hukum dan keadilan. Website resmi Mahkamah Agung memiliki tiga fungsi profil utama, yaitu:</w:t>
      </w:r>
    </w:p>
    <w:p>
      <w:pPr>
        <w:pStyle w:val="ListBullet"/>
      </w:pPr>
      <w:r>
        <w:t>Kebijakan dan Regulasi — memuat produk hukum internal Mahkamah Agung berupa Peraturan MA (PERMA), Surat Edaran MA (SEMA), dan Surat Keputusan MA (SKM) yang menjadi acuan regulasi bagi seluruh pengadilan di bawah naungan MA.</w:t>
      </w:r>
    </w:p>
    <w:p>
      <w:pPr>
        <w:pStyle w:val="ListBullet"/>
      </w:pPr>
      <w:r>
        <w:t>Informasi Perkara dan Putusan Pengadilan — penyedia data perkara mencakup pengumuman resmi, pengesahan kebijakan, dan lain-lain berdasarkan hasil sidang.</w:t>
      </w:r>
    </w:p>
    <w:p/>
    <w:p>
      <w:pPr>
        <w:pStyle w:val="Heading2"/>
      </w:pPr>
      <w:r>
        <w:rPr>
          <w:color w:val="2E5A45"/>
        </w:rPr>
        <w:t>3.1 Konteks Pengguna</w:t>
      </w:r>
    </w:p>
    <w:p>
      <w:r>
        <w:rPr>
          <w:b w:val="0"/>
          <w:i w:val="0"/>
        </w:rPr>
        <w:t>Website ini digunakan oleh berbagai kalangan pengguna dengan kebutuhan yang berbeda-beda. Pemetaan pengguna e-government sejenis juga dibahas dalam tinjauan literatur sistematis oleh Jutif mengenai metode evaluasi usability pada UI/UX e-government:</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Jenis Pengguna</w:t>
            </w:r>
          </w:p>
        </w:tc>
        <w:tc>
          <w:tcPr>
            <w:tcW w:type="dxa" w:w="4320"/>
          </w:tcPr>
          <w:p>
            <w:r>
              <w:rPr>
                <w:b/>
              </w:rPr>
              <w:t>Kebutuhan Utama</w:t>
            </w:r>
          </w:p>
        </w:tc>
      </w:tr>
      <w:tr>
        <w:tc>
          <w:tcPr>
            <w:tcW w:type="dxa" w:w="4320"/>
          </w:tcPr>
          <w:p>
            <w:r>
              <w:t>Pengacara</w:t>
            </w:r>
          </w:p>
        </w:tc>
        <w:tc>
          <w:tcPr>
            <w:tcW w:type="dxa" w:w="4320"/>
          </w:tcPr>
          <w:p>
            <w:r>
              <w:t>Akses cepat ke jadwal sidang, perkara, dan dokumen putusan.</w:t>
            </w:r>
          </w:p>
        </w:tc>
      </w:tr>
      <w:tr>
        <w:tc>
          <w:tcPr>
            <w:tcW w:type="dxa" w:w="4320"/>
          </w:tcPr>
          <w:p>
            <w:r>
              <w:t>Masyarakat Umum</w:t>
            </w:r>
          </w:p>
        </w:tc>
        <w:tc>
          <w:tcPr>
            <w:tcW w:type="dxa" w:w="4320"/>
          </w:tcPr>
          <w:p>
            <w:r>
              <w:t>Membutuhkan informasi perkara dengan panduan yang mudah dipahami.</w:t>
            </w:r>
          </w:p>
        </w:tc>
      </w:tr>
      <w:tr>
        <w:tc>
          <w:tcPr>
            <w:tcW w:type="dxa" w:w="4320"/>
          </w:tcPr>
          <w:p>
            <w:r>
              <w:t>Jurnalis</w:t>
            </w:r>
          </w:p>
        </w:tc>
        <w:tc>
          <w:tcPr>
            <w:tcW w:type="dxa" w:w="4320"/>
          </w:tcPr>
          <w:p>
            <w:r>
              <w:t>Akses terbuka terhadap berita resmi dan data putusan pengadilan.</w:t>
            </w:r>
          </w:p>
        </w:tc>
      </w:tr>
      <w:tr>
        <w:tc>
          <w:tcPr>
            <w:tcW w:type="dxa" w:w="4320"/>
          </w:tcPr>
          <w:p>
            <w:r>
              <w:t>Mahasiswa</w:t>
            </w:r>
          </w:p>
        </w:tc>
        <w:tc>
          <w:tcPr>
            <w:tcW w:type="dxa" w:w="4320"/>
          </w:tcPr>
          <w:p>
            <w:r>
              <w:t>Membutuhkan referensi hukum dan putusan untuk pembelajaran.</w:t>
            </w:r>
          </w:p>
        </w:tc>
      </w:tr>
    </w:tbl>
    <w:p>
      <w:r>
        <w:br w:type="page"/>
      </w:r>
    </w:p>
    <w:p>
      <w:pPr>
        <w:pStyle w:val="Heading1"/>
      </w:pPr>
      <w:r>
        <w:rPr>
          <w:color w:val="1E3A2F"/>
        </w:rPr>
        <w:t>4. Metode Design Thinking</w:t>
      </w:r>
    </w:p>
    <w:p>
      <w:r>
        <w:rPr>
          <w:b w:val="0"/>
          <w:i w:val="0"/>
        </w:rPr>
        <w:t>Perancangan ulang website ini menggunakan metode Design Thinking, yaitu metode perancangan yang berpusat pada pengguna (user-centered) untuk memahami masalah, menemukan solusi, membuat rancangan, dan menguji hasil desain secara bertahap. Metode ini terdiri dari lima tahap: Empathize, Define, Ideate, Prototype, dan Test. Pendekatan ini mengacu pada penerapan design thinking untuk perancangan ulang antarmuka website sebagaimana dijelaskan pada studi kasus PT Jesinra Makmur Group dan penelitian redesign antarmuka website berbasis UI/UX untuk meningkatkan performa dan kepuasan pengguna.</w:t>
      </w:r>
    </w:p>
    <w:tbl>
      <w:tblPr>
        <w:tblStyle w:val="LightGrid-Accent1"/>
        <w:tblW w:type="auto" w:w="0"/>
        <w:tblLook w:firstColumn="1" w:firstRow="1" w:lastColumn="0" w:lastRow="0" w:noHBand="0" w:noVBand="1" w:val="04A0"/>
      </w:tblPr>
      <w:tblGrid>
        <w:gridCol w:w="4320"/>
        <w:gridCol w:w="4320"/>
      </w:tblGrid>
      <w:tr>
        <w:tc>
          <w:tcPr>
            <w:tcW w:type="dxa" w:w="4320"/>
          </w:tcPr>
          <w:p>
            <w:r>
              <w:rPr>
                <w:b/>
              </w:rPr>
              <w:t>Tahap</w:t>
            </w:r>
          </w:p>
        </w:tc>
        <w:tc>
          <w:tcPr>
            <w:tcW w:type="dxa" w:w="4320"/>
          </w:tcPr>
          <w:p>
            <w:r>
              <w:rPr>
                <w:b/>
              </w:rPr>
              <w:t>Deskripsi</w:t>
            </w:r>
          </w:p>
        </w:tc>
      </w:tr>
      <w:tr>
        <w:tc>
          <w:tcPr>
            <w:tcW w:type="dxa" w:w="4320"/>
          </w:tcPr>
          <w:p>
            <w:r>
              <w:t>Empathize</w:t>
            </w:r>
          </w:p>
        </w:tc>
        <w:tc>
          <w:tcPr>
            <w:tcW w:type="dxa" w:w="4320"/>
          </w:tcPr>
          <w:p>
            <w:r>
              <w:t>Memahami kebutuhan, perilaku, dan permasalahan pengguna melalui observasi awal.</w:t>
            </w:r>
          </w:p>
        </w:tc>
      </w:tr>
      <w:tr>
        <w:tc>
          <w:tcPr>
            <w:tcW w:type="dxa" w:w="4320"/>
          </w:tcPr>
          <w:p>
            <w:r>
              <w:t>Define</w:t>
            </w:r>
          </w:p>
        </w:tc>
        <w:tc>
          <w:tcPr>
            <w:tcW w:type="dxa" w:w="4320"/>
          </w:tcPr>
          <w:p>
            <w:r>
              <w:t>Merumuskan masalah utama berdasarkan hasil pemahaman terhadap pengguna dan sistem yang dianalisis.</w:t>
            </w:r>
          </w:p>
        </w:tc>
      </w:tr>
      <w:tr>
        <w:tc>
          <w:tcPr>
            <w:tcW w:type="dxa" w:w="4320"/>
          </w:tcPr>
          <w:p>
            <w:r>
              <w:t>Ideate</w:t>
            </w:r>
          </w:p>
        </w:tc>
        <w:tc>
          <w:tcPr>
            <w:tcW w:type="dxa" w:w="4320"/>
          </w:tcPr>
          <w:p>
            <w:r>
              <w:t>Menghasilkan berbagai ide solusi yang dapat menjawab permasalahan yang telah dirumuskan.</w:t>
            </w:r>
          </w:p>
        </w:tc>
      </w:tr>
      <w:tr>
        <w:tc>
          <w:tcPr>
            <w:tcW w:type="dxa" w:w="4320"/>
          </w:tcPr>
          <w:p>
            <w:r>
              <w:t>Prototype</w:t>
            </w:r>
          </w:p>
        </w:tc>
        <w:tc>
          <w:tcPr>
            <w:tcW w:type="dxa" w:w="4320"/>
          </w:tcPr>
          <w:p>
            <w:r>
              <w:t>Membuat rancangan awal atau model desain yang dapat digunakan.</w:t>
            </w:r>
          </w:p>
        </w:tc>
      </w:tr>
      <w:tr>
        <w:tc>
          <w:tcPr>
            <w:tcW w:type="dxa" w:w="4320"/>
          </w:tcPr>
          <w:p>
            <w:r>
              <w:t>Test</w:t>
            </w:r>
          </w:p>
        </w:tc>
        <w:tc>
          <w:tcPr>
            <w:tcW w:type="dxa" w:w="4320"/>
          </w:tcPr>
          <w:p>
            <w:r>
              <w:t>Menguji rancangan untuk mengetahui efektivitas terhadap kebutuhan pengguna.</w:t>
            </w:r>
          </w:p>
        </w:tc>
      </w:tr>
    </w:tbl>
    <w:p/>
    <w:p>
      <w:pPr>
        <w:pStyle w:val="Heading2"/>
      </w:pPr>
      <w:r>
        <w:rPr>
          <w:color w:val="2E5A45"/>
        </w:rPr>
        <w:t>4.1 Empathize — Temuan Masalah pada Website Lama</w:t>
      </w:r>
    </w:p>
    <w:p>
      <w:r>
        <w:rPr>
          <w:b w:val="0"/>
          <w:i w:val="0"/>
        </w:rPr>
        <w:t>Berdasarkan evaluasi heuristik (Nielsen &amp; Molich, 1990; Nielsen, 1994), ditemukan beberapa permasalahan utama pada website Mahkamah Agung versi lama:</w:t>
      </w:r>
    </w:p>
    <w:p>
      <w:r>
        <w:rPr>
          <w:b/>
        </w:rPr>
        <w:t>Menu Navigasi Ambigu</w:t>
      </w:r>
    </w:p>
    <w:p>
      <w:pPr>
        <w:pStyle w:val="ListBullet"/>
      </w:pPr>
      <w:r>
        <w:t>H1 – Visibility of System Status: Tidak ada highlight/indikator, tidak ada ikon external link, navbar menghilang saat scroll.</w:t>
      </w:r>
    </w:p>
    <w:p>
      <w:pPr>
        <w:pStyle w:val="ListBullet"/>
      </w:pPr>
      <w:r>
        <w:t>H3 – User Control and Freedom: Pengguna harus scroll balik ke atas untuk navigasi.</w:t>
      </w:r>
    </w:p>
    <w:p>
      <w:pPr>
        <w:pStyle w:val="ListBullet"/>
      </w:pPr>
      <w:r>
        <w:t>H6 – Recognition Rather Than Recall: Label ambigu memaksa pengguna mengingat isi tiap menu daripada langsung mengenalinya.</w:t>
      </w:r>
    </w:p>
    <w:p>
      <w:r>
        <w:rPr>
          <w:b/>
        </w:rPr>
        <w:t>Beranda Terlalu Padat</w:t>
      </w:r>
    </w:p>
    <w:p>
      <w:pPr>
        <w:pStyle w:val="ListBullet"/>
      </w:pPr>
      <w:r>
        <w:t>H6 – Recognition Rather Than Recall: Pengguna dipaksa mengingat letak fitur setiap kali berkunjung.</w:t>
      </w:r>
    </w:p>
    <w:p>
      <w:pPr>
        <w:pStyle w:val="ListBullet"/>
      </w:pPr>
      <w:r>
        <w:t>H7 – Flexibility and Efficiency of Use: Sulitnya menemukan layanan prioritas secara cepat.</w:t>
      </w:r>
    </w:p>
    <w:p>
      <w:pPr>
        <w:pStyle w:val="ListBullet"/>
      </w:pPr>
      <w:r>
        <w:t>H8 – Aesthetic and Minimalist Design: Banyak elemen ditampilkan tanpa adanya hierarki yang jelas.</w:t>
      </w:r>
    </w:p>
    <w:p>
      <w:r>
        <w:rPr>
          <w:b/>
        </w:rPr>
        <w:t>Fitur Pencarian Lemah</w:t>
      </w:r>
    </w:p>
    <w:p>
      <w:pPr>
        <w:pStyle w:val="ListBullet"/>
      </w:pPr>
      <w:r>
        <w:t>H5 – Error Prevention: Form tidak memvalidasi input secara langsung; tidak ada filter atau panduan sebelum pencarian; tidak ada saran kata kunci.</w:t>
      </w:r>
    </w:p>
    <w:p>
      <w:pPr>
        <w:pStyle w:val="ListBullet"/>
      </w:pPr>
      <w:r>
        <w:t>H9 – Help Users Recognize, Diagnose, and Recover from Errors: Pesan error menggunakan bahasa teknis yang tidak membantu pengguna.</w:t>
      </w:r>
    </w:p>
    <w:p>
      <w:r>
        <w:rPr>
          <w:b/>
        </w:rPr>
        <w:t>Menu Perkara Terisolasi</w:t>
      </w:r>
    </w:p>
    <w:p>
      <w:pPr>
        <w:pStyle w:val="ListBullet"/>
      </w:pPr>
      <w:r>
        <w:t>H1 – Visibility of System Status: Tidak ada pemberitahuan perpindahan.</w:t>
      </w:r>
    </w:p>
    <w:p>
      <w:pPr>
        <w:pStyle w:val="ListBullet"/>
      </w:pPr>
      <w:r>
        <w:t>H3 – User Control and Freedom: Tidak ada menu navigasi utama.</w:t>
      </w:r>
    </w:p>
    <w:p>
      <w:pPr>
        <w:pStyle w:val="ListBullet"/>
      </w:pPr>
      <w:r>
        <w:t>H4 – Consistency and Standards: Style visual berubah total.</w:t>
      </w:r>
    </w:p>
    <w:p>
      <w:r>
        <w:rPr>
          <w:b w:val="0"/>
          <w:i w:val="0"/>
        </w:rPr>
        <w:t>Selain permasalahan di atas, terdapat pula fitur yang dinilai baik dan tetap dipertahankan pada perancangan baru:</w:t>
      </w:r>
    </w:p>
    <w:p>
      <w:pPr>
        <w:pStyle w:val="ListBullet"/>
      </w:pPr>
      <w:r>
        <w:t>Fitur Pencarian Perkara — kebutuhan penting bagi advokat dan masyarakat pencari keadilan.</w:t>
      </w:r>
    </w:p>
    <w:p>
      <w:pPr>
        <w:pStyle w:val="ListBullet"/>
      </w:pPr>
      <w:r>
        <w:t>Informasi Detail Perkara — poin utama dari transparansi hukum.</w:t>
      </w:r>
    </w:p>
    <w:p>
      <w:pPr>
        <w:pStyle w:val="ListBullet"/>
      </w:pPr>
      <w:r>
        <w:t>Fitur Cetak Halaman.</w:t>
      </w:r>
    </w:p>
    <w:p>
      <w:r>
        <w:br w:type="page"/>
      </w:r>
    </w:p>
    <w:p>
      <w:pPr>
        <w:pStyle w:val="Heading2"/>
      </w:pPr>
      <w:r>
        <w:rPr>
          <w:color w:val="2E5A45"/>
        </w:rPr>
        <w:t>4.2 Define — Rumusan Masalah</w:t>
      </w:r>
    </w:p>
    <w:p>
      <w:r>
        <w:rPr>
          <w:b w:val="0"/>
          <w:i w:val="0"/>
        </w:rPr>
        <w:t>Dari hasil tahap Empathize, dirumuskan empat masalah utama sebagai berikut:</w:t>
      </w:r>
    </w:p>
    <w:p>
      <w:pPr>
        <w:pStyle w:val="ListNumber"/>
      </w:pPr>
      <w:r>
        <w:t>Menu navigasi ambigu dan tidak konsisten — Pengguna bingung harus ke mana karena label menu tidak konsisten dan tidak ada penanda saat berpindah sistem.</w:t>
      </w:r>
    </w:p>
    <w:p>
      <w:pPr>
        <w:pStyle w:val="ListNumber"/>
      </w:pPr>
      <w:r>
        <w:t>Beranda terlalu padat tanpa hierarki visual — Terlalu banyak informasi tanpa hierarki visual sehingga pengguna tidak tahu harus fokus ke mana.</w:t>
      </w:r>
    </w:p>
    <w:p>
      <w:pPr>
        <w:pStyle w:val="ListNumber"/>
      </w:pPr>
      <w:r>
        <w:t>Fitur pencarian lemah dan tidak membantu — Search bar tidak memberikan feedback jelas saat konten tidak ditemukan serta menggunakan bahasa teknis yang sulit dipahami.</w:t>
      </w:r>
    </w:p>
    <w:p>
      <w:pPr>
        <w:pStyle w:val="ListNumber"/>
      </w:pPr>
      <w:r>
        <w:t>Menu perkara terisolasi dari ekosistem utama — Pengguna keluar situs tanpa peringatan, kehilangan seluruh navigasi, dan tidak memiliki jalur kembali ke ekosistem utama.</w:t>
      </w:r>
    </w:p>
    <w:p>
      <w:r>
        <w:br w:type="page"/>
      </w:r>
    </w:p>
    <w:p>
      <w:pPr>
        <w:pStyle w:val="Heading2"/>
      </w:pPr>
      <w:r>
        <w:rPr>
          <w:color w:val="2E5A45"/>
        </w:rPr>
        <w:t>4.3 Ideate — Ide Solusi</w:t>
      </w:r>
    </w:p>
    <w:p>
      <w:r>
        <w:rPr>
          <w:b/>
        </w:rPr>
        <w:t>1. Restrukturisasi Navbar</w:t>
      </w:r>
    </w:p>
    <w:p>
      <w:r>
        <w:rPr>
          <w:b w:val="0"/>
          <w:i w:val="0"/>
        </w:rPr>
        <w:t>Menggabungkan beberapa item pada navbar lalu menambahkan item tertentu yang sebelumnya perlu menggunakan widget penuh beranda.</w:t>
      </w:r>
    </w:p>
    <w:p>
      <w:r>
        <w:rPr>
          <w:b/>
        </w:rPr>
        <w:t>2. Restrukturisasi Beranda</w:t>
      </w:r>
    </w:p>
    <w:p>
      <w:r>
        <w:rPr>
          <w:b w:val="0"/>
          <w:i w:val="0"/>
        </w:rPr>
        <w:t>Menyusun ulang konten beranda dengan hierarki yang jelas: hero, layanan utama, berita, dan menghapus widget yang tidak relevan.</w:t>
      </w:r>
    </w:p>
    <w:p>
      <w:r>
        <w:rPr>
          <w:b/>
        </w:rPr>
        <w:t>3. Penyempurnaan Sistem Pencarian Perkara</w:t>
      </w:r>
    </w:p>
    <w:p>
      <w:r>
        <w:rPr>
          <w:b w:val="0"/>
          <w:i w:val="0"/>
        </w:rPr>
        <w:t>Menambahkan filter pencarian berbasis kalender dan menambahkan respon pencarian.</w:t>
      </w:r>
    </w:p>
    <w:p>
      <w:r>
        <w:rPr>
          <w:b/>
        </w:rPr>
        <w:t>4. Menambahkan Halaman Bantuan</w:t>
      </w:r>
    </w:p>
    <w:p>
      <w:r>
        <w:rPr>
          <w:b w:val="0"/>
          <w:i w:val="0"/>
        </w:rPr>
        <w:t>Menambahkan halaman bantuan berisi FAQ dan glosarium agar website lebih mudah digunakan pengguna.</w:t>
      </w:r>
    </w:p>
    <w:p>
      <w:r>
        <w:br w:type="page"/>
      </w:r>
    </w:p>
    <w:p>
      <w:pPr>
        <w:pStyle w:val="Heading2"/>
      </w:pPr>
      <w:r>
        <w:rPr>
          <w:color w:val="2E5A45"/>
        </w:rPr>
        <w:t>4.4 Prototype</w:t>
      </w:r>
    </w:p>
    <w:p>
      <w:r>
        <w:rPr>
          <w:b/>
        </w:rPr>
        <w:t>Restrukturisasi Navbar</w:t>
      </w:r>
    </w:p>
    <w:p>
      <w:pPr>
        <w:pStyle w:val="ListBullet"/>
      </w:pPr>
      <w:r>
        <w:t>Submenu Informasi</w:t>
      </w:r>
    </w:p>
    <w:p>
      <w:pPr>
        <w:pStyle w:val="ListBullet"/>
      </w:pPr>
      <w:r>
        <w:t>Submenu Layanan Digital</w:t>
      </w:r>
    </w:p>
    <w:p>
      <w:r>
        <w:rPr>
          <w:b/>
        </w:rPr>
        <w:t>Restrukturisasi Beranda</w:t>
      </w:r>
    </w:p>
    <w:p>
      <w:pPr>
        <w:pStyle w:val="ListBullet"/>
      </w:pPr>
      <w:r>
        <w:t>Section Hero — Heading, tagline, dan 3 fitur utama (Cek Putusan, Cek Status Perkara, Hubungi Pengadilan).</w:t>
      </w:r>
    </w:p>
    <w:p>
      <w:pPr>
        <w:pStyle w:val="ListBullet"/>
      </w:pPr>
      <w:r>
        <w:t>Section Layanan — Layanan internal dan eksternal.</w:t>
      </w:r>
    </w:p>
    <w:p>
      <w:pPr>
        <w:pStyle w:val="ListBullet"/>
      </w:pPr>
      <w:r>
        <w:t>Section Berita.</w:t>
      </w:r>
    </w:p>
    <w:p>
      <w:r>
        <w:rPr>
          <w:b/>
        </w:rPr>
        <w:t>Penyempurnaan Sistem Pencarian Perkara</w:t>
      </w:r>
    </w:p>
    <w:p>
      <w:pPr>
        <w:pStyle w:val="ListBullet"/>
      </w:pPr>
      <w:r>
        <w:t>Section Petunjuk.</w:t>
      </w:r>
    </w:p>
    <w:p>
      <w:pPr>
        <w:pStyle w:val="ListBullet"/>
      </w:pPr>
      <w:r>
        <w:t>Filter pencarian perkara.</w:t>
      </w:r>
    </w:p>
    <w:p>
      <w:pPr>
        <w:pStyle w:val="ListBullet"/>
      </w:pPr>
      <w:r>
        <w:t>Kalender bulan &amp; daftar agenda.</w:t>
      </w:r>
    </w:p>
    <w:p>
      <w:pPr>
        <w:pStyle w:val="ListBullet"/>
      </w:pPr>
      <w:r>
        <w:t>Hasil pencarian.</w:t>
      </w:r>
    </w:p>
    <w:p>
      <w:r>
        <w:rPr>
          <w:b/>
        </w:rPr>
        <w:t>Menambahkan Halaman Bantuan</w:t>
      </w:r>
    </w:p>
    <w:p>
      <w:pPr>
        <w:pStyle w:val="ListBullet"/>
      </w:pPr>
      <w:r>
        <w:t>Section Hero + Search.</w:t>
      </w:r>
    </w:p>
    <w:p>
      <w:pPr>
        <w:pStyle w:val="ListBullet"/>
      </w:pPr>
      <w:r>
        <w:t>Section Filter Kategori.</w:t>
      </w:r>
    </w:p>
    <w:p>
      <w:pPr>
        <w:pStyle w:val="ListBullet"/>
      </w:pPr>
      <w:r>
        <w:t>Section Daftar FAQ.</w:t>
      </w:r>
    </w:p>
    <w:p>
      <w:pPr>
        <w:pStyle w:val="ListBullet"/>
      </w:pPr>
      <w:r>
        <w:t>Section Glosarium.</w:t>
      </w:r>
    </w:p>
    <w:p>
      <w:r>
        <w:br w:type="page"/>
      </w:r>
    </w:p>
    <w:p>
      <w:pPr>
        <w:pStyle w:val="Heading2"/>
      </w:pPr>
      <w:r>
        <w:rPr>
          <w:color w:val="2E5A45"/>
        </w:rPr>
        <w:t>4.5 Visual Design</w:t>
      </w:r>
    </w:p>
    <w:p>
      <w:r>
        <w:rPr>
          <w:b w:val="0"/>
          <w:i w:val="0"/>
        </w:rPr>
        <w:t>Perancangan visual menggunakan palet warna khas Mahkamah Agung, yaitu Emas dan Hijau Tua, dipadukan dengan warna netral: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Kelompok Warna</w:t>
            </w:r>
          </w:p>
        </w:tc>
        <w:tc>
          <w:tcPr>
            <w:tcW w:type="dxa" w:w="2880"/>
          </w:tcPr>
          <w:p>
            <w:r>
              <w:rPr>
                <w:b/>
              </w:rPr>
              <w:t>Nama</w:t>
            </w:r>
          </w:p>
        </w:tc>
        <w:tc>
          <w:tcPr>
            <w:tcW w:type="dxa" w:w="2880"/>
          </w:tcPr>
          <w:p>
            <w:r>
              <w:rPr>
                <w:b/>
              </w:rPr>
              <w:t>Kode Hex</w:t>
            </w:r>
          </w:p>
        </w:tc>
      </w:tr>
      <w:tr>
        <w:tc>
          <w:tcPr>
            <w:tcW w:type="dxa" w:w="2880"/>
          </w:tcPr>
          <w:p>
            <w:r>
              <w:t>Emas</w:t>
            </w:r>
          </w:p>
        </w:tc>
        <w:tc>
          <w:tcPr>
            <w:tcW w:type="dxa" w:w="2880"/>
          </w:tcPr>
          <w:p>
            <w:r>
              <w:t>MA Emas</w:t>
            </w:r>
          </w:p>
        </w:tc>
        <w:tc>
          <w:tcPr>
            <w:tcW w:type="dxa" w:w="2880"/>
            <w:shd w:fill="C9A84C"/>
          </w:tcPr>
          <w:p>
            <w:r>
              <w:t>#C9A84C</w:t>
            </w:r>
          </w:p>
        </w:tc>
      </w:tr>
      <w:tr>
        <w:tc>
          <w:tcPr>
            <w:tcW w:type="dxa" w:w="2880"/>
          </w:tcPr>
          <w:p>
            <w:r>
              <w:t>Emas</w:t>
            </w:r>
          </w:p>
        </w:tc>
        <w:tc>
          <w:tcPr>
            <w:tcW w:type="dxa" w:w="2880"/>
          </w:tcPr>
          <w:p>
            <w:r>
              <w:t>Emas Gelap</w:t>
            </w:r>
          </w:p>
        </w:tc>
        <w:tc>
          <w:tcPr>
            <w:tcW w:type="dxa" w:w="2880"/>
            <w:shd w:fill="A8852A"/>
          </w:tcPr>
          <w:p>
            <w:r>
              <w:t>#A8852A</w:t>
            </w:r>
          </w:p>
        </w:tc>
      </w:tr>
      <w:tr>
        <w:tc>
          <w:tcPr>
            <w:tcW w:type="dxa" w:w="2880"/>
          </w:tcPr>
          <w:p>
            <w:r>
              <w:t>Emas</w:t>
            </w:r>
          </w:p>
        </w:tc>
        <w:tc>
          <w:tcPr>
            <w:tcW w:type="dxa" w:w="2880"/>
          </w:tcPr>
          <w:p>
            <w:r>
              <w:t>Emas Terang</w:t>
            </w:r>
          </w:p>
        </w:tc>
        <w:tc>
          <w:tcPr>
            <w:tcW w:type="dxa" w:w="2880"/>
            <w:shd w:fill="E8C96A"/>
          </w:tcPr>
          <w:p>
            <w:r>
              <w:t>#E8C96A</w:t>
            </w:r>
          </w:p>
        </w:tc>
      </w:tr>
      <w:tr>
        <w:tc>
          <w:tcPr>
            <w:tcW w:type="dxa" w:w="2880"/>
          </w:tcPr>
          <w:p>
            <w:r>
              <w:t>Emas</w:t>
            </w:r>
          </w:p>
        </w:tc>
        <w:tc>
          <w:tcPr>
            <w:tcW w:type="dxa" w:w="2880"/>
          </w:tcPr>
          <w:p>
            <w:r>
              <w:t>Emas Muda</w:t>
            </w:r>
          </w:p>
        </w:tc>
        <w:tc>
          <w:tcPr>
            <w:tcW w:type="dxa" w:w="2880"/>
            <w:shd w:fill="F9F3E3"/>
          </w:tcPr>
          <w:p>
            <w:r>
              <w:t>#F9F3E3</w:t>
            </w:r>
          </w:p>
        </w:tc>
      </w:tr>
      <w:tr>
        <w:tc>
          <w:tcPr>
            <w:tcW w:type="dxa" w:w="2880"/>
          </w:tcPr>
          <w:p>
            <w:r>
              <w:t>Hijau Tua</w:t>
            </w:r>
          </w:p>
        </w:tc>
        <w:tc>
          <w:tcPr>
            <w:tcW w:type="dxa" w:w="2880"/>
          </w:tcPr>
          <w:p>
            <w:r>
              <w:t>MA Hijau</w:t>
            </w:r>
          </w:p>
        </w:tc>
        <w:tc>
          <w:tcPr>
            <w:tcW w:type="dxa" w:w="2880"/>
            <w:shd w:fill="1E3A2F"/>
          </w:tcPr>
          <w:p>
            <w:r>
              <w:t>#1E3A2F</w:t>
            </w:r>
          </w:p>
        </w:tc>
      </w:tr>
      <w:tr>
        <w:tc>
          <w:tcPr>
            <w:tcW w:type="dxa" w:w="2880"/>
          </w:tcPr>
          <w:p>
            <w:r>
              <w:t>Hijau Tua</w:t>
            </w:r>
          </w:p>
        </w:tc>
        <w:tc>
          <w:tcPr>
            <w:tcW w:type="dxa" w:w="2880"/>
          </w:tcPr>
          <w:p>
            <w:r>
              <w:t>Hijau Gelap</w:t>
            </w:r>
          </w:p>
        </w:tc>
        <w:tc>
          <w:tcPr>
            <w:tcW w:type="dxa" w:w="2880"/>
            <w:shd w:fill="162B22"/>
          </w:tcPr>
          <w:p>
            <w:r>
              <w:t>#162B22</w:t>
            </w:r>
          </w:p>
        </w:tc>
      </w:tr>
      <w:tr>
        <w:tc>
          <w:tcPr>
            <w:tcW w:type="dxa" w:w="2880"/>
          </w:tcPr>
          <w:p>
            <w:r>
              <w:t>Hijau Tua</w:t>
            </w:r>
          </w:p>
        </w:tc>
        <w:tc>
          <w:tcPr>
            <w:tcW w:type="dxa" w:w="2880"/>
          </w:tcPr>
          <w:p>
            <w:r>
              <w:t>Hijau Medium</w:t>
            </w:r>
          </w:p>
        </w:tc>
        <w:tc>
          <w:tcPr>
            <w:tcW w:type="dxa" w:w="2880"/>
            <w:shd w:fill="2E5A45"/>
          </w:tcPr>
          <w:p>
            <w:r>
              <w:t>#2E5A45</w:t>
            </w:r>
          </w:p>
        </w:tc>
      </w:tr>
      <w:tr>
        <w:tc>
          <w:tcPr>
            <w:tcW w:type="dxa" w:w="2880"/>
          </w:tcPr>
          <w:p>
            <w:r>
              <w:t>Hijau Tua</w:t>
            </w:r>
          </w:p>
        </w:tc>
        <w:tc>
          <w:tcPr>
            <w:tcW w:type="dxa" w:w="2880"/>
          </w:tcPr>
          <w:p>
            <w:r>
              <w:t>Hijau Muda</w:t>
            </w:r>
          </w:p>
        </w:tc>
        <w:tc>
          <w:tcPr>
            <w:tcW w:type="dxa" w:w="2880"/>
            <w:shd w:fill="E8F2ED"/>
          </w:tcPr>
          <w:p>
            <w:r>
              <w:t>#E8F2ED</w:t>
            </w:r>
          </w:p>
        </w:tc>
      </w:tr>
      <w:tr>
        <w:tc>
          <w:tcPr>
            <w:tcW w:type="dxa" w:w="2880"/>
          </w:tcPr>
          <w:p>
            <w:r>
              <w:t>Netral</w:t>
            </w:r>
          </w:p>
        </w:tc>
        <w:tc>
          <w:tcPr>
            <w:tcW w:type="dxa" w:w="2880"/>
          </w:tcPr>
          <w:p>
            <w:r>
              <w:t>Netral 1</w:t>
            </w:r>
          </w:p>
        </w:tc>
        <w:tc>
          <w:tcPr>
            <w:tcW w:type="dxa" w:w="2880"/>
            <w:shd w:fill="1A1A1A"/>
          </w:tcPr>
          <w:p>
            <w:r>
              <w:t>#1A1A1A</w:t>
            </w:r>
          </w:p>
        </w:tc>
      </w:tr>
      <w:tr>
        <w:tc>
          <w:tcPr>
            <w:tcW w:type="dxa" w:w="2880"/>
          </w:tcPr>
          <w:p>
            <w:r>
              <w:t>Netral</w:t>
            </w:r>
          </w:p>
        </w:tc>
        <w:tc>
          <w:tcPr>
            <w:tcW w:type="dxa" w:w="2880"/>
          </w:tcPr>
          <w:p>
            <w:r>
              <w:t>Netral 2</w:t>
            </w:r>
          </w:p>
        </w:tc>
        <w:tc>
          <w:tcPr>
            <w:tcW w:type="dxa" w:w="2880"/>
            <w:shd w:fill="4A4A4A"/>
          </w:tcPr>
          <w:p>
            <w:r>
              <w:t>#4A4A4A</w:t>
            </w:r>
          </w:p>
        </w:tc>
      </w:tr>
      <w:tr>
        <w:tc>
          <w:tcPr>
            <w:tcW w:type="dxa" w:w="2880"/>
          </w:tcPr>
          <w:p>
            <w:r>
              <w:t>Netral</w:t>
            </w:r>
          </w:p>
        </w:tc>
        <w:tc>
          <w:tcPr>
            <w:tcW w:type="dxa" w:w="2880"/>
          </w:tcPr>
          <w:p>
            <w:r>
              <w:t>Netral 3</w:t>
            </w:r>
          </w:p>
        </w:tc>
        <w:tc>
          <w:tcPr>
            <w:tcW w:type="dxa" w:w="2880"/>
            <w:shd w:fill="8A8A8A"/>
          </w:tcPr>
          <w:p>
            <w:r>
              <w:t>#8A8A8A</w:t>
            </w:r>
          </w:p>
        </w:tc>
      </w:tr>
      <w:tr>
        <w:tc>
          <w:tcPr>
            <w:tcW w:type="dxa" w:w="2880"/>
          </w:tcPr>
          <w:p>
            <w:r>
              <w:t>Netral</w:t>
            </w:r>
          </w:p>
        </w:tc>
        <w:tc>
          <w:tcPr>
            <w:tcW w:type="dxa" w:w="2880"/>
          </w:tcPr>
          <w:p>
            <w:r>
              <w:t>Netral 4</w:t>
            </w:r>
          </w:p>
        </w:tc>
        <w:tc>
          <w:tcPr>
            <w:tcW w:type="dxa" w:w="2880"/>
            <w:shd w:fill="F2F2F2"/>
          </w:tcPr>
          <w:p>
            <w:r>
              <w:t>#F2F2F2</w:t>
            </w:r>
          </w:p>
        </w:tc>
      </w:tr>
      <w:tr>
        <w:tc>
          <w:tcPr>
            <w:tcW w:type="dxa" w:w="2880"/>
          </w:tcPr>
          <w:p>
            <w:r>
              <w:t>Netral</w:t>
            </w:r>
          </w:p>
        </w:tc>
        <w:tc>
          <w:tcPr>
            <w:tcW w:type="dxa" w:w="2880"/>
          </w:tcPr>
          <w:p>
            <w:r>
              <w:t>Netral 5</w:t>
            </w:r>
          </w:p>
        </w:tc>
        <w:tc>
          <w:tcPr>
            <w:tcW w:type="dxa" w:w="2880"/>
            <w:shd w:fill="FFFFFF"/>
          </w:tcPr>
          <w:p>
            <w:r>
              <w:t>#FFFFFF</w:t>
            </w:r>
          </w:p>
        </w:tc>
      </w:tr>
    </w:tbl>
    <w:p/>
    <w:p>
      <w:r>
        <w:rPr>
          <w:b w:val="0"/>
          <w:i w:val="0"/>
        </w:rPr>
        <w:t>Implementasi visual design mencakup tampilan berikut:</w:t>
      </w:r>
    </w:p>
    <w:p>
      <w:pPr>
        <w:pStyle w:val="ListBullet"/>
      </w:pPr>
      <w:r>
        <w:t>Navbar dan pop up pencarian.</w:t>
      </w:r>
    </w:p>
    <w:p>
      <w:pPr>
        <w:pStyle w:val="ListBullet"/>
      </w:pPr>
      <w:r>
        <w:t>Section Hero Beranda.</w:t>
      </w:r>
    </w:p>
    <w:p>
      <w:pPr>
        <w:pStyle w:val="ListBullet"/>
      </w:pPr>
      <w:r>
        <w:t>Section Layanan Beranda.</w:t>
      </w:r>
    </w:p>
    <w:p>
      <w:pPr>
        <w:pStyle w:val="ListBullet"/>
      </w:pPr>
      <w:r>
        <w:t>Section Berita Beranda.</w:t>
      </w:r>
    </w:p>
    <w:p>
      <w:pPr>
        <w:pStyle w:val="ListBullet"/>
      </w:pPr>
      <w:r>
        <w:t>Section Petunjuk &amp; Filter Pencarian Perkara.</w:t>
      </w:r>
    </w:p>
    <w:p>
      <w:pPr>
        <w:pStyle w:val="ListBullet"/>
      </w:pPr>
      <w:r>
        <w:t>Kalender Bulan &amp; Daftar Agenda.</w:t>
      </w:r>
    </w:p>
    <w:p>
      <w:pPr>
        <w:pStyle w:val="ListBullet"/>
      </w:pPr>
      <w:r>
        <w:t>Detail Perkara.</w:t>
      </w:r>
    </w:p>
    <w:p>
      <w:pPr>
        <w:pStyle w:val="ListBullet"/>
      </w:pPr>
      <w:r>
        <w:t>Section Hero, Search, Filter Kategori, dan Daftar FAQ.</w:t>
      </w:r>
    </w:p>
    <w:p>
      <w:pPr>
        <w:pStyle w:val="ListBullet"/>
      </w:pPr>
      <w:r>
        <w:t>Section Glosarium Bantuan.</w:t>
      </w:r>
    </w:p>
    <w:p>
      <w:r>
        <w:br w:type="page"/>
      </w:r>
    </w:p>
    <w:p>
      <w:pPr>
        <w:pStyle w:val="Heading2"/>
      </w:pPr>
      <w:r>
        <w:rPr>
          <w:color w:val="2E5A45"/>
        </w:rPr>
        <w:t>4.6 Test</w:t>
      </w:r>
    </w:p>
    <w:p>
      <w:r>
        <w:rPr>
          <w:b w:val="0"/>
          <w:i w:val="0"/>
        </w:rPr>
        <w:t>Pengujian dilakukan menggunakan metode User Experience Questionnaire (UEQ) (Laugwitz, Held, &amp; Schrepp, 2008) yang mengukur enam skala pengalaman pengguna — Attractiveness, Perspicuity, Efficiency, Dependability, Stimulation, dan Novelty — dan difokuskan pada empat fitur utama hasil redesign:</w:t>
      </w:r>
    </w:p>
    <w:p>
      <w:pPr>
        <w:pStyle w:val="ListBullet"/>
      </w:pPr>
      <w:r>
        <w:t>Homepage</w:t>
      </w:r>
    </w:p>
    <w:p>
      <w:pPr>
        <w:pStyle w:val="ListBullet"/>
      </w:pPr>
      <w:r>
        <w:t>Halaman perkara &amp; kalender sidang</w:t>
      </w:r>
    </w:p>
    <w:p>
      <w:pPr>
        <w:pStyle w:val="ListBullet"/>
      </w:pPr>
      <w:r>
        <w:t>Pencarian terpadu</w:t>
      </w:r>
    </w:p>
    <w:p>
      <w:pPr>
        <w:pStyle w:val="ListBullet"/>
      </w:pPr>
      <w:r>
        <w:t>Halaman Bantuan</w:t>
      </w:r>
    </w:p>
    <w:p>
      <w:r>
        <w:rPr>
          <w:b w:val="0"/>
          <w:i w:val="0"/>
        </w:rPr>
        <w:t>Responden terlebih dahulu mencoba prototipe, kemudian mengisi kuesioner UEQ berdasarkan pengalaman mereka.</w:t>
      </w:r>
    </w:p>
    <w:p>
      <w:r>
        <w:br w:type="page"/>
      </w:r>
    </w:p>
    <w:p>
      <w:pPr>
        <w:pStyle w:val="Heading1"/>
      </w:pPr>
      <w:r>
        <w:rPr>
          <w:color w:val="1E3A2F"/>
        </w:rPr>
        <w:t>5. Daftar Pustaka</w:t>
      </w:r>
    </w:p>
    <w:p>
      <w:pPr>
        <w:ind w:left="425" w:hanging="425"/>
      </w:pPr>
      <w:r>
        <w:t xml:space="preserve">Nielsen, J., &amp; Molich, R. (1990). "Heuristic evaluation of user interfaces." Proceedings of ACM CHI'90 Conference, Seattle, WA, 249-256. </w:t>
      </w:r>
      <w:hyperlink r:id="rId9">
        <w:r>
          <w:rPr>
            <w:color w:val="2E5A45"/>
            <w:u w:val="single"/>
          </w:rPr>
          <w:t>https://www.semanticscholar.org/paper/Ten-Usability-Heuristics-Nielsen/6c49b0081d2887d0e5e22c84ac2f7c992b943599</w:t>
        </w:r>
      </w:hyperlink>
    </w:p>
    <w:p>
      <w:pPr>
        <w:ind w:left="425" w:hanging="425"/>
      </w:pPr>
      <w:r>
        <w:t xml:space="preserve">Nielsen, J. (1994). "Enhancing the explanatory power of usability heuristics." Proceedings of ACM CHI'94 Conference, Boston, MA, 152-158. </w:t>
      </w:r>
      <w:hyperlink r:id="rId10">
        <w:r>
          <w:rPr>
            <w:color w:val="2E5A45"/>
            <w:u w:val="single"/>
          </w:rPr>
          <w:t>https://www.nngroup.com/articles/ten-usability-heuristics/</w:t>
        </w:r>
      </w:hyperlink>
    </w:p>
    <w:p>
      <w:pPr>
        <w:ind w:left="425" w:hanging="425"/>
      </w:pPr>
      <w:r>
        <w:t xml:space="preserve">Laugwitz, B., Held, T., &amp; Schrepp, M. (2008). "Construction and evaluation of a user experience questionnaire." HCI and Usability for Education and Work, LNCS 5298, Springer, 63-76. </w:t>
      </w:r>
      <w:hyperlink r:id="rId11">
        <w:r>
          <w:rPr>
            <w:color w:val="2E5A45"/>
            <w:u w:val="single"/>
          </w:rPr>
          <w:t>https://www.researchgate.net/publication/221217803_Construction_and_Evaluation_of_a_User_Experience_Questionnaire</w:t>
        </w:r>
      </w:hyperlink>
    </w:p>
    <w:p>
      <w:pPr>
        <w:ind w:left="425" w:hanging="425"/>
      </w:pPr>
      <w:r>
        <w:t xml:space="preserve">Schrepp, M., Hinderks, A., &amp; Thomaschewski, J. User Experience Questionnaire Handbook. UEQ-Online. </w:t>
      </w:r>
      <w:hyperlink r:id="rId12">
        <w:r>
          <w:rPr>
            <w:color w:val="2E5A45"/>
            <w:u w:val="single"/>
          </w:rPr>
          <w:t>https://www.ueq-online.org/Material/Handbook.pdf</w:t>
        </w:r>
      </w:hyperlink>
    </w:p>
    <w:p>
      <w:pPr>
        <w:ind w:left="425" w:hanging="425"/>
      </w:pPr>
      <w:r>
        <w:t xml:space="preserve">(2026). "Redesigning website interface using UI/UX and design thinking approaches to improve user performance and satisfaction." ScienceDirect. </w:t>
      </w:r>
      <w:hyperlink r:id="rId13">
        <w:r>
          <w:rPr>
            <w:color w:val="2E5A45"/>
            <w:u w:val="single"/>
          </w:rPr>
          <w:t>https://www.sciencedirect.com/science/article/pii/S1877050926023525</w:t>
        </w:r>
      </w:hyperlink>
    </w:p>
    <w:p>
      <w:pPr>
        <w:ind w:left="425" w:hanging="425"/>
      </w:pPr>
      <w:r>
        <w:t xml:space="preserve">(2022). "Designing and Making UI/UX Designs on The Official Website with The Design Thinking Method." ResearchGate. </w:t>
      </w:r>
      <w:hyperlink r:id="rId14">
        <w:r>
          <w:rPr>
            <w:color w:val="2E5A45"/>
            <w:u w:val="single"/>
          </w:rPr>
          <w:t>https://www.researchgate.net/publication/365123721_Designing_and_Making_UIUX_Designs_on_The_Official_Website_with_The_Design_Thinking_Method</w:t>
        </w:r>
      </w:hyperlink>
    </w:p>
    <w:p>
      <w:pPr>
        <w:ind w:left="425" w:hanging="425"/>
      </w:pPr>
      <w:r>
        <w:t xml:space="preserve">(2024). "Implementation of Website-Based UI UX Using the Design Thinking Method: Case Study at PT Jesinra Makmur Group." Journal of Advances in Information and Industrial Technology, 6(1). </w:t>
      </w:r>
      <w:hyperlink r:id="rId15">
        <w:r>
          <w:rPr>
            <w:color w:val="2E5A45"/>
            <w:u w:val="single"/>
          </w:rPr>
          <w:t>https://doi.org/10.52435/jaiit.v6i1.586</w:t>
        </w:r>
      </w:hyperlink>
    </w:p>
    <w:p>
      <w:pPr>
        <w:ind w:left="425" w:hanging="425"/>
      </w:pPr>
      <w:r>
        <w:t xml:space="preserve">(2024). "Usability Evaluation Methods and Their Contribution to UI/UX Design in e-Government: A Systematic Literature Review." Jurnal Teknik Informatika (Jutif). </w:t>
      </w:r>
      <w:hyperlink r:id="rId16">
        <w:r>
          <w:rPr>
            <w:color w:val="2E5A45"/>
            <w:u w:val="single"/>
          </w:rPr>
          <w:t>https://jutif.if.unsoed.ac.id/index.php/jurnal/article/view/5587</w:t>
        </w:r>
      </w:hyperlink>
    </w:p>
    <w:p>
      <w:pPr>
        <w:ind w:left="425" w:hanging="425"/>
      </w:pPr>
      <w:r>
        <w:t xml:space="preserve">Ariwijaya, A. R., &amp; Samputra, P. L. (2023). "Evaluasi Kebijakan Peradilan Elektronik (E-Court) Mahkamah Agung Republik Indonesia." Jurnal Hukum dan Pembangunan, 51(4). </w:t>
      </w:r>
      <w:hyperlink r:id="rId17">
        <w:r>
          <w:rPr>
            <w:color w:val="2E5A45"/>
            <w:u w:val="single"/>
          </w:rPr>
          <w:t>https://scholarhub.ui.ac.id/jhp/vol51/iss4/14/</w:t>
        </w:r>
      </w:hyperlink>
    </w:p>
    <w:p>
      <w:pPr>
        <w:ind w:left="425" w:hanging="425"/>
      </w:pPr>
      <w:r>
        <w:t xml:space="preserve">Mukhtar. (2023). "Accountability and Transparency of the Electronic Court and Litigation Systems in Indonesia." Jurnal Hukum, 39(2). </w:t>
      </w:r>
      <w:hyperlink r:id="rId18">
        <w:r>
          <w:rPr>
            <w:color w:val="2E5A45"/>
            <w:u w:val="single"/>
          </w:rPr>
          <w:t>https://doi.org/10.26532/jh.v39i2.32552</w:t>
        </w:r>
      </w:hyperlink>
    </w:p>
    <w:p>
      <w:pPr>
        <w:ind w:left="425" w:hanging="425"/>
      </w:pPr>
      <w:r>
        <w:t xml:space="preserve"> "Analisis Usability Pada Website Universitas Brawijaya Dengan Heuristic Evaluation." Jurnal Teknologi Informasi dan Ilmu Komputer (JTIIK). </w:t>
      </w:r>
      <w:hyperlink r:id="rId19">
        <w:r>
          <w:rPr>
            <w:color w:val="2E5A45"/>
            <w:u w:val="single"/>
          </w:rPr>
          <w:t>https://jtiik.ub.ac.id/index.php/jtiik/article/view/194</w:t>
        </w:r>
      </w:hyperlink>
    </w:p>
    <w:p>
      <w:r>
        <w:br w:type="page"/>
      </w:r>
    </w:p>
    <w:p>
      <w:pPr>
        <w:pStyle w:val="Heading1"/>
      </w:pPr>
      <w:r>
        <w:rPr>
          <w:color w:val="1E3A2F"/>
        </w:rPr>
        <w:t>6. Penutup</w:t>
      </w:r>
    </w:p>
    <w:p>
      <w:r>
        <w:rPr>
          <w:b w:val="0"/>
          <w:i w:val="0"/>
        </w:rPr>
        <w:t>Demikian laporan evaluasi dan perancangan ulang website Mahkamah Agung ini disusun oleh Kelompok 10. Diharapkan hasil rancangan ini dapat menjadi rekomendasi perbaikan pengalaman pengguna pada website Mahkamah Agung agar lebih mudah diakses dan digunakan oleh seluruh kalangan masyarakat.</w:t>
      </w:r>
    </w:p>
    <w:p>
      <w:r>
        <w:rPr>
          <w:b/>
          <w:i w:val="0"/>
        </w:rPr>
        <w:t>Terima kasih.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semanticscholar.org/paper/Ten-Usability-Heuristics-Nielsen/6c49b0081d2887d0e5e22c84ac2f7c992b943599" TargetMode="External"/><Relationship Id="rId10" Type="http://schemas.openxmlformats.org/officeDocument/2006/relationships/hyperlink" Target="https://www.nngroup.com/articles/ten-usability-heuristics/" TargetMode="External"/><Relationship Id="rId11" Type="http://schemas.openxmlformats.org/officeDocument/2006/relationships/hyperlink" Target="https://www.researchgate.net/publication/221217803_Construction_and_Evaluation_of_a_User_Experience_Questionnaire" TargetMode="External"/><Relationship Id="rId12" Type="http://schemas.openxmlformats.org/officeDocument/2006/relationships/hyperlink" Target="https://www.ueq-online.org/Material/Handbook.pdf" TargetMode="External"/><Relationship Id="rId13" Type="http://schemas.openxmlformats.org/officeDocument/2006/relationships/hyperlink" Target="https://www.sciencedirect.com/science/article/pii/S1877050926023525" TargetMode="External"/><Relationship Id="rId14" Type="http://schemas.openxmlformats.org/officeDocument/2006/relationships/hyperlink" Target="https://www.researchgate.net/publication/365123721_Designing_and_Making_UIUX_Designs_on_The_Official_Website_with_The_Design_Thinking_Method" TargetMode="External"/><Relationship Id="rId15" Type="http://schemas.openxmlformats.org/officeDocument/2006/relationships/hyperlink" Target="https://doi.org/10.52435/jaiit.v6i1.586" TargetMode="External"/><Relationship Id="rId16" Type="http://schemas.openxmlformats.org/officeDocument/2006/relationships/hyperlink" Target="https://jutif.if.unsoed.ac.id/index.php/jurnal/article/view/5587" TargetMode="External"/><Relationship Id="rId17" Type="http://schemas.openxmlformats.org/officeDocument/2006/relationships/hyperlink" Target="https://scholarhub.ui.ac.id/jhp/vol51/iss4/14/" TargetMode="External"/><Relationship Id="rId18" Type="http://schemas.openxmlformats.org/officeDocument/2006/relationships/hyperlink" Target="https://doi.org/10.26532/jh.v39i2.32552" TargetMode="External"/><Relationship Id="rId19" Type="http://schemas.openxmlformats.org/officeDocument/2006/relationships/hyperlink" Target="https://jtiik.ub.ac.id/index.php/jtiik/article/view/19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