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A36" w:rsidRDefault="00141A36" w:rsidP="00141A36">
      <w:pPr>
        <w:spacing w:after="0" w:line="240" w:lineRule="auto"/>
        <w:rPr>
          <w:rFonts w:cs="Arial"/>
          <w:sz w:val="32"/>
          <w:szCs w:val="32"/>
        </w:rPr>
      </w:pPr>
      <w:r>
        <w:rPr>
          <w:rFonts w:cs="Arial"/>
          <w:sz w:val="32"/>
          <w:szCs w:val="32"/>
          <w:rtl/>
        </w:rPr>
        <w:t xml:space="preserve">(المهام) </w:t>
      </w:r>
    </w:p>
    <w:p w:rsidR="00141A36" w:rsidRDefault="00141A36" w:rsidP="00141A36">
      <w:pPr>
        <w:spacing w:after="0" w:line="240" w:lineRule="auto"/>
        <w:rPr>
          <w:rFonts w:cs="Arial"/>
          <w:sz w:val="32"/>
          <w:szCs w:val="32"/>
          <w:rtl/>
        </w:rPr>
      </w:pPr>
    </w:p>
    <w:p w:rsidR="00141A36" w:rsidRDefault="00141A36" w:rsidP="00141A36">
      <w:pPr>
        <w:spacing w:after="0" w:line="240" w:lineRule="auto"/>
        <w:rPr>
          <w:rFonts w:cs="Arial"/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التخطيط المالي:</w:t>
      </w:r>
    </w:p>
    <w:p w:rsidR="00141A36" w:rsidRPr="00141A36" w:rsidRDefault="00141A36" w:rsidP="00141A36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32"/>
          <w:szCs w:val="32"/>
          <w:highlight w:val="yellow"/>
          <w:rtl/>
        </w:rPr>
      </w:pPr>
      <w:r w:rsidRPr="00141A36">
        <w:rPr>
          <w:rFonts w:cs="Arial"/>
          <w:sz w:val="32"/>
          <w:szCs w:val="32"/>
          <w:highlight w:val="yellow"/>
          <w:rtl/>
        </w:rPr>
        <w:t>وضع الخطط المالية الاستراتيجية طويلة الأجل لدعم أهداف الشركة.</w:t>
      </w:r>
    </w:p>
    <w:p w:rsidR="00141A36" w:rsidRPr="00141A36" w:rsidRDefault="00141A36" w:rsidP="00141A36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32"/>
          <w:szCs w:val="32"/>
          <w:highlight w:val="yellow"/>
          <w:rtl/>
        </w:rPr>
      </w:pPr>
      <w:r w:rsidRPr="00141A36">
        <w:rPr>
          <w:rFonts w:cs="Arial"/>
          <w:sz w:val="32"/>
          <w:szCs w:val="32"/>
          <w:highlight w:val="yellow"/>
          <w:rtl/>
        </w:rPr>
        <w:t>تطوير الميزانيات السنوية وتحديد الأهداف المالية.</w:t>
      </w:r>
    </w:p>
    <w:p w:rsidR="00141A36" w:rsidRDefault="00141A36" w:rsidP="00141A36">
      <w:pPr>
        <w:spacing w:after="0" w:line="240" w:lineRule="auto"/>
        <w:rPr>
          <w:rFonts w:cs="Arial"/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إدارة العمليات المالية:</w:t>
      </w:r>
    </w:p>
    <w:p w:rsidR="00141A36" w:rsidRDefault="00141A36" w:rsidP="00141A36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الإشراف على الأنشطة المالية اليومية بما في ذلك المحاسبة، وإدارة النقد، ومراجعة النفقات.</w:t>
      </w:r>
    </w:p>
    <w:p w:rsidR="00141A36" w:rsidRDefault="00141A36" w:rsidP="00141A36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تحليل الأداء المالي والبحث عن فرص لتحسين الكفاءة المالية.</w:t>
      </w:r>
    </w:p>
    <w:p w:rsidR="00141A36" w:rsidRDefault="00141A36" w:rsidP="00141A36">
      <w:pPr>
        <w:spacing w:after="0" w:line="240" w:lineRule="auto"/>
        <w:rPr>
          <w:rFonts w:cs="Arial"/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الإشراف على المحاسبة:</w:t>
      </w:r>
    </w:p>
    <w:p w:rsidR="00141A36" w:rsidRDefault="00141A36" w:rsidP="00141A36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ضمان دقة وسلامة السجلات المالية.</w:t>
      </w:r>
    </w:p>
    <w:p w:rsidR="00141A36" w:rsidRDefault="00141A36" w:rsidP="00141A36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الإشراف على عمليات إعداد القوائم المالية والتقارير الدورية.</w:t>
      </w:r>
    </w:p>
    <w:p w:rsidR="00141A36" w:rsidRDefault="00141A36" w:rsidP="00141A36">
      <w:pPr>
        <w:spacing w:after="0" w:line="240" w:lineRule="auto"/>
        <w:rPr>
          <w:rFonts w:cs="Arial"/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تحليل المخاطر المالية:</w:t>
      </w:r>
    </w:p>
    <w:p w:rsidR="00141A36" w:rsidRDefault="00141A36" w:rsidP="00141A36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32"/>
          <w:szCs w:val="32"/>
          <w:rtl/>
        </w:rPr>
      </w:pPr>
      <w:r w:rsidRPr="00141A36">
        <w:rPr>
          <w:rFonts w:cs="Arial"/>
          <w:sz w:val="32"/>
          <w:szCs w:val="32"/>
          <w:highlight w:val="yellow"/>
          <w:rtl/>
        </w:rPr>
        <w:t>تقييم المخاطر المالية والاقتصادية التي قد تؤثر على الشركة.</w:t>
      </w:r>
    </w:p>
    <w:p w:rsidR="00141A36" w:rsidRPr="00141A36" w:rsidRDefault="00141A36" w:rsidP="00141A36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32"/>
          <w:szCs w:val="32"/>
          <w:highlight w:val="yellow"/>
          <w:rtl/>
        </w:rPr>
      </w:pPr>
      <w:r w:rsidRPr="00141A36">
        <w:rPr>
          <w:rFonts w:cs="Arial"/>
          <w:sz w:val="32"/>
          <w:szCs w:val="32"/>
          <w:highlight w:val="yellow"/>
          <w:rtl/>
        </w:rPr>
        <w:t>تطوير استراتيجيات لإدارة المخاطر المالية وتقليلها.</w:t>
      </w:r>
    </w:p>
    <w:p w:rsidR="00141A36" w:rsidRDefault="00141A36" w:rsidP="00141A36">
      <w:pPr>
        <w:spacing w:after="0" w:line="240" w:lineRule="auto"/>
        <w:rPr>
          <w:rFonts w:cs="Arial"/>
          <w:sz w:val="32"/>
          <w:szCs w:val="32"/>
          <w:rtl/>
        </w:rPr>
      </w:pPr>
      <w:r w:rsidRPr="00141A36">
        <w:rPr>
          <w:rFonts w:cs="Arial"/>
          <w:sz w:val="32"/>
          <w:szCs w:val="32"/>
          <w:highlight w:val="yellow"/>
          <w:rtl/>
        </w:rPr>
        <w:t>التواصل مع المستثمرين:</w:t>
      </w:r>
    </w:p>
    <w:p w:rsidR="00141A36" w:rsidRDefault="00141A36" w:rsidP="00141A36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إعداد تقارير مالية للمستثمرين وأصحاب المصلحة.</w:t>
      </w:r>
    </w:p>
    <w:p w:rsidR="00141A36" w:rsidRPr="00141A36" w:rsidRDefault="00141A36" w:rsidP="00141A36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32"/>
          <w:szCs w:val="32"/>
          <w:highlight w:val="yellow"/>
          <w:rtl/>
        </w:rPr>
      </w:pPr>
      <w:r w:rsidRPr="00141A36">
        <w:rPr>
          <w:rFonts w:cs="Arial"/>
          <w:sz w:val="32"/>
          <w:szCs w:val="32"/>
          <w:highlight w:val="yellow"/>
          <w:rtl/>
        </w:rPr>
        <w:t>تقديم التوصيات المالية لمجلس الإدارة والمستثمرين.</w:t>
      </w:r>
    </w:p>
    <w:p w:rsidR="00141A36" w:rsidRPr="00141A36" w:rsidRDefault="00141A36" w:rsidP="00141A36">
      <w:pPr>
        <w:spacing w:after="0" w:line="240" w:lineRule="auto"/>
        <w:rPr>
          <w:rFonts w:cs="Arial"/>
          <w:sz w:val="32"/>
          <w:szCs w:val="32"/>
          <w:highlight w:val="yellow"/>
          <w:rtl/>
        </w:rPr>
      </w:pPr>
      <w:r w:rsidRPr="00141A36">
        <w:rPr>
          <w:rFonts w:cs="Arial"/>
          <w:sz w:val="32"/>
          <w:szCs w:val="32"/>
          <w:highlight w:val="yellow"/>
          <w:rtl/>
        </w:rPr>
        <w:t>التأكد من الامتثال:</w:t>
      </w:r>
    </w:p>
    <w:p w:rsidR="00141A36" w:rsidRPr="00141A36" w:rsidRDefault="00141A36" w:rsidP="00141A36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32"/>
          <w:szCs w:val="32"/>
          <w:highlight w:val="yellow"/>
          <w:rtl/>
        </w:rPr>
      </w:pPr>
      <w:r w:rsidRPr="00141A36">
        <w:rPr>
          <w:rFonts w:cs="Arial"/>
          <w:sz w:val="32"/>
          <w:szCs w:val="32"/>
          <w:highlight w:val="yellow"/>
          <w:rtl/>
        </w:rPr>
        <w:t>ضمان الامتثال للمعايير المحاسبية والقوانين المالية.</w:t>
      </w:r>
    </w:p>
    <w:p w:rsidR="00141A36" w:rsidRPr="00141A36" w:rsidRDefault="00141A36" w:rsidP="00141A36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32"/>
          <w:szCs w:val="32"/>
          <w:highlight w:val="yellow"/>
          <w:rtl/>
        </w:rPr>
      </w:pPr>
      <w:r w:rsidRPr="00141A36">
        <w:rPr>
          <w:rFonts w:cs="Arial"/>
          <w:sz w:val="32"/>
          <w:szCs w:val="32"/>
          <w:highlight w:val="yellow"/>
          <w:rtl/>
        </w:rPr>
        <w:t>العمل مع المدققين الخارجيين لضمان شفافية العمليات المالية.</w:t>
      </w:r>
    </w:p>
    <w:p w:rsidR="00141A36" w:rsidRDefault="00141A36" w:rsidP="00141A36">
      <w:pPr>
        <w:spacing w:after="0" w:line="240" w:lineRule="auto"/>
        <w:rPr>
          <w:rFonts w:cs="Arial"/>
          <w:sz w:val="32"/>
          <w:szCs w:val="32"/>
          <w:rtl/>
        </w:rPr>
      </w:pPr>
      <w:r w:rsidRPr="00141A36">
        <w:rPr>
          <w:rFonts w:cs="Arial"/>
          <w:sz w:val="32"/>
          <w:szCs w:val="32"/>
          <w:highlight w:val="yellow"/>
          <w:rtl/>
        </w:rPr>
        <w:t>إدارة الاستثمارات:</w:t>
      </w:r>
    </w:p>
    <w:p w:rsidR="00141A36" w:rsidRPr="00141A36" w:rsidRDefault="00141A36" w:rsidP="00141A36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32"/>
          <w:szCs w:val="32"/>
          <w:highlight w:val="yellow"/>
          <w:rtl/>
        </w:rPr>
      </w:pPr>
      <w:r w:rsidRPr="00141A36">
        <w:rPr>
          <w:rFonts w:cs="Arial"/>
          <w:sz w:val="32"/>
          <w:szCs w:val="32"/>
          <w:highlight w:val="yellow"/>
          <w:rtl/>
        </w:rPr>
        <w:t>تقييم الفرص الاستثمارية وتقديم توصيات حول الاستثمار الأمثل.</w:t>
      </w:r>
    </w:p>
    <w:p w:rsidR="00141A36" w:rsidRPr="00141A36" w:rsidRDefault="00141A36" w:rsidP="00141A36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32"/>
          <w:szCs w:val="32"/>
          <w:highlight w:val="yellow"/>
          <w:rtl/>
        </w:rPr>
      </w:pPr>
      <w:r w:rsidRPr="00141A36">
        <w:rPr>
          <w:rFonts w:cs="Arial"/>
          <w:sz w:val="32"/>
          <w:szCs w:val="32"/>
          <w:highlight w:val="yellow"/>
          <w:rtl/>
        </w:rPr>
        <w:t>إدارة محفظة الشركة الاستثمارية بشكل يضمن تحقيق أفضل العوائد.</w:t>
      </w:r>
    </w:p>
    <w:p w:rsidR="00141A36" w:rsidRDefault="00141A36" w:rsidP="00141A36">
      <w:pPr>
        <w:spacing w:after="0" w:line="240" w:lineRule="auto"/>
        <w:rPr>
          <w:rFonts w:cs="Arial"/>
          <w:sz w:val="32"/>
          <w:szCs w:val="32"/>
          <w:rtl/>
        </w:rPr>
      </w:pPr>
      <w:r w:rsidRPr="00141A36">
        <w:rPr>
          <w:rFonts w:cs="Arial"/>
          <w:sz w:val="32"/>
          <w:szCs w:val="32"/>
          <w:rtl/>
        </w:rPr>
        <w:t>مهام المحاسب:</w:t>
      </w:r>
    </w:p>
    <w:p w:rsidR="00141A36" w:rsidRDefault="00141A36" w:rsidP="00141A36">
      <w:pPr>
        <w:spacing w:after="0" w:line="240" w:lineRule="auto"/>
        <w:rPr>
          <w:rFonts w:cs="Arial"/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إعداد السجلات المالية:</w:t>
      </w:r>
    </w:p>
    <w:p w:rsidR="00141A36" w:rsidRDefault="00141A36" w:rsidP="00141A36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تسجيل المعاملات المالية اليومية بدقة.</w:t>
      </w:r>
    </w:p>
    <w:p w:rsidR="00141A36" w:rsidRDefault="00141A36" w:rsidP="00141A36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إعداد القيود المحاسبية الشهرية والسنوية.</w:t>
      </w:r>
    </w:p>
    <w:p w:rsidR="00141A36" w:rsidRDefault="00141A36" w:rsidP="00141A36">
      <w:pPr>
        <w:spacing w:after="0" w:line="240" w:lineRule="auto"/>
        <w:rPr>
          <w:rFonts w:cs="Arial"/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إعداد التقارير المالية:</w:t>
      </w:r>
    </w:p>
    <w:p w:rsidR="00141A36" w:rsidRDefault="00141A36" w:rsidP="00141A36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32"/>
          <w:szCs w:val="32"/>
          <w:rtl/>
        </w:rPr>
      </w:pPr>
      <w:r w:rsidRPr="00141A36">
        <w:rPr>
          <w:rFonts w:cs="Arial"/>
          <w:sz w:val="32"/>
          <w:szCs w:val="32"/>
          <w:highlight w:val="yellow"/>
          <w:rtl/>
        </w:rPr>
        <w:t>إعداد القوائم المالية مثل قائمة الدخل والميزانية العمومية.</w:t>
      </w:r>
    </w:p>
    <w:p w:rsidR="00141A36" w:rsidRDefault="00141A36" w:rsidP="00141A36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تقديم تقارير مالية دورية للإدارة لتقييم الأداء المالي.</w:t>
      </w:r>
    </w:p>
    <w:p w:rsidR="00141A36" w:rsidRDefault="00141A36" w:rsidP="00141A36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إدارة الحسابات الدائنة والمدينة:</w:t>
      </w:r>
    </w:p>
    <w:p w:rsidR="00141A36" w:rsidRDefault="00141A36" w:rsidP="00141A36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متابعة الفواتير والمدفوعات المستحقة.</w:t>
      </w:r>
    </w:p>
    <w:p w:rsidR="00141A36" w:rsidRPr="00141A36" w:rsidRDefault="00141A36" w:rsidP="00141A36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32"/>
          <w:szCs w:val="32"/>
          <w:highlight w:val="yellow"/>
          <w:rtl/>
        </w:rPr>
      </w:pPr>
      <w:r w:rsidRPr="00141A36">
        <w:rPr>
          <w:rFonts w:cs="Arial"/>
          <w:sz w:val="32"/>
          <w:szCs w:val="32"/>
          <w:highlight w:val="yellow"/>
          <w:rtl/>
        </w:rPr>
        <w:t>إدارة الديون وتحصيل المستحقات.</w:t>
      </w:r>
    </w:p>
    <w:p w:rsidR="00141A36" w:rsidRDefault="00141A36" w:rsidP="00141A36">
      <w:pPr>
        <w:spacing w:after="0" w:line="240" w:lineRule="auto"/>
        <w:rPr>
          <w:rFonts w:cs="Arial"/>
          <w:sz w:val="32"/>
          <w:szCs w:val="32"/>
          <w:rtl/>
        </w:rPr>
      </w:pPr>
      <w:r w:rsidRPr="00141A36">
        <w:rPr>
          <w:rFonts w:cs="Arial"/>
          <w:sz w:val="32"/>
          <w:szCs w:val="32"/>
          <w:highlight w:val="yellow"/>
          <w:rtl/>
        </w:rPr>
        <w:t>التسوية المصرفية:</w:t>
      </w:r>
    </w:p>
    <w:p w:rsidR="00141A36" w:rsidRPr="00141A36" w:rsidRDefault="00141A36" w:rsidP="00141A36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32"/>
          <w:szCs w:val="32"/>
          <w:highlight w:val="yellow"/>
          <w:rtl/>
        </w:rPr>
      </w:pPr>
      <w:r w:rsidRPr="00141A36">
        <w:rPr>
          <w:rFonts w:cs="Arial"/>
          <w:sz w:val="32"/>
          <w:szCs w:val="32"/>
          <w:highlight w:val="yellow"/>
          <w:rtl/>
        </w:rPr>
        <w:lastRenderedPageBreak/>
        <w:t>إجراء تسويات حسابات البنوك لضمان دقة الأرصدة.</w:t>
      </w:r>
    </w:p>
    <w:p w:rsidR="00141A36" w:rsidRPr="00141A36" w:rsidRDefault="00141A36" w:rsidP="00141A36">
      <w:pPr>
        <w:spacing w:after="0" w:line="240" w:lineRule="auto"/>
        <w:rPr>
          <w:rFonts w:cs="Arial"/>
          <w:sz w:val="32"/>
          <w:szCs w:val="32"/>
          <w:highlight w:val="yellow"/>
          <w:rtl/>
        </w:rPr>
      </w:pPr>
      <w:r w:rsidRPr="00141A36">
        <w:rPr>
          <w:rFonts w:cs="Arial"/>
          <w:sz w:val="32"/>
          <w:szCs w:val="32"/>
          <w:highlight w:val="yellow"/>
          <w:rtl/>
        </w:rPr>
        <w:t>الامتثال الضريبي:</w:t>
      </w:r>
    </w:p>
    <w:p w:rsidR="00141A36" w:rsidRPr="00141A36" w:rsidRDefault="00141A36" w:rsidP="00141A36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32"/>
          <w:szCs w:val="32"/>
          <w:highlight w:val="yellow"/>
          <w:rtl/>
        </w:rPr>
      </w:pPr>
      <w:r w:rsidRPr="00141A36">
        <w:rPr>
          <w:rFonts w:cs="Arial"/>
          <w:sz w:val="32"/>
          <w:szCs w:val="32"/>
          <w:highlight w:val="yellow"/>
          <w:rtl/>
        </w:rPr>
        <w:t>إعداد الإقرارات الضريبية وضمان الامتثال للالتزامات الضريبية.</w:t>
      </w:r>
    </w:p>
    <w:p w:rsidR="00141A36" w:rsidRPr="00141A36" w:rsidRDefault="00141A36" w:rsidP="00141A36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32"/>
          <w:szCs w:val="32"/>
          <w:highlight w:val="yellow"/>
          <w:rtl/>
        </w:rPr>
      </w:pPr>
      <w:r w:rsidRPr="00141A36">
        <w:rPr>
          <w:rFonts w:cs="Arial"/>
          <w:sz w:val="32"/>
          <w:szCs w:val="32"/>
          <w:highlight w:val="yellow"/>
          <w:rtl/>
        </w:rPr>
        <w:t>العمل مع المستشارين الضريبيين لضمان أفضل الممارسات.</w:t>
      </w:r>
    </w:p>
    <w:p w:rsidR="00141A36" w:rsidRDefault="00141A36" w:rsidP="00141A36">
      <w:pPr>
        <w:spacing w:after="0" w:line="240" w:lineRule="auto"/>
        <w:rPr>
          <w:rFonts w:cs="Arial"/>
          <w:sz w:val="32"/>
          <w:szCs w:val="32"/>
          <w:rtl/>
        </w:rPr>
      </w:pPr>
      <w:r w:rsidRPr="00141A36">
        <w:rPr>
          <w:rFonts w:cs="Arial"/>
          <w:sz w:val="32"/>
          <w:szCs w:val="32"/>
          <w:highlight w:val="yellow"/>
          <w:rtl/>
        </w:rPr>
        <w:t>دعم عمليات التدقيق:</w:t>
      </w:r>
      <w:bookmarkStart w:id="0" w:name="_GoBack"/>
      <w:bookmarkEnd w:id="0"/>
    </w:p>
    <w:p w:rsidR="00141A36" w:rsidRDefault="00141A36" w:rsidP="00141A36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تقديم الوثائق والمعلومات المطلوبة لعمليات التدقيق الداخلي والخارجي.</w:t>
      </w:r>
    </w:p>
    <w:p w:rsidR="00141A36" w:rsidRDefault="00141A36" w:rsidP="00141A36">
      <w:pPr>
        <w:pStyle w:val="ListParagraph"/>
        <w:numPr>
          <w:ilvl w:val="0"/>
          <w:numId w:val="1"/>
        </w:numPr>
        <w:spacing w:after="0" w:line="240" w:lineRule="auto"/>
        <w:ind w:left="450"/>
        <w:rPr>
          <w:rFonts w:cs="Arial"/>
          <w:sz w:val="32"/>
          <w:szCs w:val="32"/>
          <w:rtl/>
        </w:rPr>
      </w:pPr>
      <w:r>
        <w:rPr>
          <w:rFonts w:cs="Arial"/>
          <w:sz w:val="32"/>
          <w:szCs w:val="32"/>
          <w:rtl/>
        </w:rPr>
        <w:t>دعم عمليات مراجعة السجلات المالية لضمان الشفافية.</w:t>
      </w:r>
    </w:p>
    <w:p w:rsidR="00AD00AF" w:rsidRDefault="00141A36"/>
    <w:sectPr w:rsidR="00AD0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065B1"/>
    <w:multiLevelType w:val="hybridMultilevel"/>
    <w:tmpl w:val="7E9CC946"/>
    <w:lvl w:ilvl="0" w:tplc="A94A0426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A36"/>
    <w:rsid w:val="00141A36"/>
    <w:rsid w:val="006E725F"/>
    <w:rsid w:val="00D4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C0F6B-8BC5-4A12-B940-40A53C30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A36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A36"/>
    <w:pPr>
      <w:ind w:left="720"/>
      <w:contextualSpacing/>
    </w:pPr>
  </w:style>
  <w:style w:type="table" w:styleId="TableGrid">
    <w:name w:val="Table Grid"/>
    <w:basedOn w:val="TableNormal"/>
    <w:uiPriority w:val="59"/>
    <w:rsid w:val="00141A3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2024-09-11T15:08:00Z</dcterms:created>
  <dcterms:modified xsi:type="dcterms:W3CDTF">2024-09-11T15:13:00Z</dcterms:modified>
</cp:coreProperties>
</file>