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Roboto" w:cs="Roboto" w:eastAsia="Roboto" w:hAnsi="Roboto"/>
                <w:i w:val="1"/>
                <w:color w:val="548dd4"/>
                <w:sz w:val="24"/>
                <w:szCs w:val="24"/>
                <w:rtl w:val="0"/>
              </w:rPr>
              <w:t xml:space="preserve">Tropezón News: Modernización del Portal Digital y Gestión Editorial Colaborativa.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5">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D">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0">
            <w:pPr>
              <w:ind w:left="743" w:firstLine="0"/>
              <w:rPr>
                <w:b w:val="1"/>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NotoSansSymbols-bold.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CenturyGothic-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GBSArdL1iC+ImsG4aQ8Ludjf7w==">CgMxLjA4AHIhMW85YUUzcFl3VGYyZWhxSnNOZ1NXN1otVkVPOHlta0hk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