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C5" w:rsidRPr="00375B77" w:rsidRDefault="00F10C49" w:rsidP="00375B77">
      <w:pPr>
        <w:jc w:val="center"/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F50DCA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Classification of Surgeon</w:t>
      </w:r>
      <w:r w:rsidR="00737E65" w:rsidRPr="00F50DCA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s Skill</w:t>
      </w:r>
      <w:r w:rsidRPr="00F50DCA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 xml:space="preserve"> in Percutaneous </w:t>
      </w:r>
      <w:proofErr w:type="spellStart"/>
      <w:r w:rsidRPr="00F50DCA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Nephrolithotomy</w:t>
      </w:r>
      <w:proofErr w:type="spellEnd"/>
      <w:r w:rsidRPr="00F50DCA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 xml:space="preserve"> Simulation</w:t>
      </w:r>
    </w:p>
    <w:p w:rsidR="00FD65C5" w:rsidRPr="00F50DCA" w:rsidRDefault="00FD65C5" w:rsidP="00F10C49">
      <w:pPr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F50DCA">
        <w:rPr>
          <w:rFonts w:asciiTheme="majorBidi" w:hAnsiTheme="majorBidi" w:cstheme="majorBidi"/>
          <w:color w:val="222222"/>
          <w:shd w:val="clear" w:color="auto" w:fill="FFFFFF"/>
        </w:rPr>
        <w:t>Amir Baghdadi, Lora Cavuoto</w:t>
      </w:r>
    </w:p>
    <w:p w:rsidR="00F10C49" w:rsidRDefault="00F50DCA" w:rsidP="00375B77">
      <w:pPr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F50DCA">
        <w:rPr>
          <w:rFonts w:asciiTheme="majorBidi" w:hAnsiTheme="majorBidi" w:cstheme="majorBidi"/>
          <w:color w:val="222222"/>
          <w:shd w:val="clear" w:color="auto" w:fill="FFFFFF"/>
        </w:rPr>
        <w:t>Department of Industrial and Systems Engineering, University at Buffalo, Buffalo NY 14260</w:t>
      </w:r>
    </w:p>
    <w:p w:rsidR="00375B77" w:rsidRPr="00375B77" w:rsidRDefault="00375B77" w:rsidP="00375B77">
      <w:pPr>
        <w:jc w:val="center"/>
        <w:rPr>
          <w:rFonts w:asciiTheme="majorBidi" w:hAnsiTheme="majorBidi" w:cstheme="majorBidi"/>
        </w:rPr>
      </w:pPr>
    </w:p>
    <w:p w:rsidR="001327E3" w:rsidRDefault="00FD65C5" w:rsidP="003D6D11">
      <w:pPr>
        <w:jc w:val="both"/>
        <w:rPr>
          <w:rFonts w:asciiTheme="majorBidi" w:hAnsiTheme="majorBidi" w:cstheme="majorBidi"/>
          <w:sz w:val="24"/>
          <w:szCs w:val="24"/>
        </w:rPr>
      </w:pPr>
      <w:r w:rsidRPr="00FD65C5">
        <w:rPr>
          <w:rFonts w:asciiTheme="majorBidi" w:hAnsiTheme="majorBidi" w:cstheme="majorBidi"/>
          <w:b/>
          <w:bCs/>
          <w:i/>
          <w:iCs/>
          <w:sz w:val="24"/>
          <w:szCs w:val="24"/>
        </w:rPr>
        <w:t>Introduction and Objective: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22AD8">
        <w:rPr>
          <w:rFonts w:asciiTheme="majorBidi" w:hAnsiTheme="majorBidi" w:cstheme="majorBidi"/>
          <w:sz w:val="24"/>
          <w:szCs w:val="24"/>
        </w:rPr>
        <w:t xml:space="preserve">Surgeon skill classification is necessary </w:t>
      </w:r>
      <w:r w:rsidR="003D6D11">
        <w:rPr>
          <w:rFonts w:asciiTheme="majorBidi" w:hAnsiTheme="majorBidi" w:cstheme="majorBidi"/>
          <w:sz w:val="24"/>
          <w:szCs w:val="24"/>
        </w:rPr>
        <w:t>in</w:t>
      </w:r>
      <w:r w:rsidR="00E22AD8">
        <w:rPr>
          <w:rFonts w:asciiTheme="majorBidi" w:hAnsiTheme="majorBidi" w:cstheme="majorBidi"/>
          <w:sz w:val="24"/>
          <w:szCs w:val="24"/>
        </w:rPr>
        <w:t xml:space="preserve"> the development of a quantitative sur</w:t>
      </w:r>
      <w:r w:rsidR="003D6D11">
        <w:rPr>
          <w:rFonts w:asciiTheme="majorBidi" w:hAnsiTheme="majorBidi" w:cstheme="majorBidi"/>
          <w:sz w:val="24"/>
          <w:szCs w:val="24"/>
        </w:rPr>
        <w:t>gical skill assessment system for</w:t>
      </w:r>
      <w:r w:rsidR="00E22AD8">
        <w:rPr>
          <w:rFonts w:asciiTheme="majorBidi" w:hAnsiTheme="majorBidi" w:cstheme="majorBidi"/>
          <w:sz w:val="24"/>
          <w:szCs w:val="24"/>
        </w:rPr>
        <w:t xml:space="preserve"> training purposes and reducing the surgical risks. </w:t>
      </w:r>
      <w:r w:rsidR="00C94BF6">
        <w:rPr>
          <w:rFonts w:asciiTheme="majorBidi" w:hAnsiTheme="majorBidi" w:cstheme="majorBidi"/>
          <w:sz w:val="24"/>
          <w:szCs w:val="24"/>
        </w:rPr>
        <w:t xml:space="preserve">The </w:t>
      </w:r>
      <w:r w:rsidR="002C7C7E">
        <w:rPr>
          <w:rFonts w:asciiTheme="majorBidi" w:hAnsiTheme="majorBidi" w:cstheme="majorBidi"/>
          <w:sz w:val="24"/>
          <w:szCs w:val="24"/>
        </w:rPr>
        <w:t>goal</w:t>
      </w:r>
      <w:r w:rsidR="00C94BF6">
        <w:rPr>
          <w:rFonts w:asciiTheme="majorBidi" w:hAnsiTheme="majorBidi" w:cstheme="majorBidi"/>
          <w:sz w:val="24"/>
          <w:szCs w:val="24"/>
        </w:rPr>
        <w:t xml:space="preserve"> of this study is to </w:t>
      </w:r>
      <w:r w:rsidR="000F3805">
        <w:rPr>
          <w:rFonts w:asciiTheme="majorBidi" w:hAnsiTheme="majorBidi" w:cstheme="majorBidi"/>
          <w:sz w:val="24"/>
          <w:szCs w:val="24"/>
        </w:rPr>
        <w:t xml:space="preserve">classify the </w:t>
      </w:r>
      <w:r w:rsidR="003D6D11">
        <w:rPr>
          <w:rFonts w:asciiTheme="majorBidi" w:hAnsiTheme="majorBidi" w:cstheme="majorBidi"/>
          <w:sz w:val="24"/>
          <w:szCs w:val="24"/>
        </w:rPr>
        <w:t>operators</w:t>
      </w:r>
      <w:r w:rsidR="000F3805">
        <w:rPr>
          <w:rFonts w:asciiTheme="majorBidi" w:hAnsiTheme="majorBidi" w:cstheme="majorBidi"/>
          <w:sz w:val="24"/>
          <w:szCs w:val="24"/>
        </w:rPr>
        <w:t xml:space="preserve"> in </w:t>
      </w:r>
      <w:r w:rsidR="000F3805" w:rsidRPr="003A244A">
        <w:rPr>
          <w:rFonts w:asciiTheme="majorBidi" w:hAnsiTheme="majorBidi" w:cstheme="majorBidi"/>
          <w:sz w:val="24"/>
          <w:szCs w:val="24"/>
        </w:rPr>
        <w:t xml:space="preserve">a </w:t>
      </w:r>
      <w:r w:rsidR="003A244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3A244A" w:rsidRPr="003A244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ercutaneous nephrolithotomy (PCNL)</w:t>
      </w:r>
      <w:r w:rsidR="003A244A">
        <w:rPr>
          <w:rFonts w:ascii="Arial" w:hAnsi="Arial" w:cs="Arial"/>
          <w:color w:val="222222"/>
          <w:shd w:val="clear" w:color="auto" w:fill="FFFFFF"/>
        </w:rPr>
        <w:t>,</w:t>
      </w:r>
      <w:r w:rsidR="003A244A">
        <w:rPr>
          <w:rFonts w:asciiTheme="majorBidi" w:hAnsiTheme="majorBidi" w:cstheme="majorBidi"/>
          <w:sz w:val="24"/>
          <w:szCs w:val="24"/>
        </w:rPr>
        <w:t xml:space="preserve"> a minimally-invasive procedure for stone removal from the </w:t>
      </w:r>
      <w:r w:rsidR="000F3805">
        <w:rPr>
          <w:rFonts w:asciiTheme="majorBidi" w:hAnsiTheme="majorBidi" w:cstheme="majorBidi"/>
          <w:sz w:val="24"/>
          <w:szCs w:val="24"/>
        </w:rPr>
        <w:t>kidney</w:t>
      </w:r>
      <w:r w:rsidR="003A244A">
        <w:rPr>
          <w:rFonts w:asciiTheme="majorBidi" w:hAnsiTheme="majorBidi" w:cstheme="majorBidi"/>
          <w:sz w:val="24"/>
          <w:szCs w:val="24"/>
        </w:rPr>
        <w:t xml:space="preserve"> using a small puncture wound on the skin,</w:t>
      </w:r>
      <w:r w:rsidR="000F3805">
        <w:rPr>
          <w:rFonts w:asciiTheme="majorBidi" w:hAnsiTheme="majorBidi" w:cstheme="majorBidi"/>
          <w:sz w:val="24"/>
          <w:szCs w:val="24"/>
        </w:rPr>
        <w:t xml:space="preserve"> </w:t>
      </w:r>
      <w:r w:rsidR="00DA18BE">
        <w:rPr>
          <w:rFonts w:asciiTheme="majorBidi" w:hAnsiTheme="majorBidi" w:cstheme="majorBidi"/>
          <w:sz w:val="24"/>
          <w:szCs w:val="24"/>
        </w:rPr>
        <w:t>simulation</w:t>
      </w:r>
      <w:r w:rsidR="002274EF">
        <w:rPr>
          <w:rFonts w:asciiTheme="majorBidi" w:hAnsiTheme="majorBidi" w:cstheme="majorBidi"/>
          <w:sz w:val="24"/>
          <w:szCs w:val="24"/>
        </w:rPr>
        <w:t xml:space="preserve"> into two groups of experts and novices</w:t>
      </w:r>
      <w:r w:rsidR="006845B1">
        <w:rPr>
          <w:rFonts w:asciiTheme="majorBidi" w:hAnsiTheme="majorBidi" w:cstheme="majorBidi"/>
          <w:sz w:val="24"/>
          <w:szCs w:val="24"/>
        </w:rPr>
        <w:t xml:space="preserve"> using kinematic features derived from the data of the simulation tool</w:t>
      </w:r>
      <w:r w:rsidR="000F3805">
        <w:rPr>
          <w:rFonts w:asciiTheme="majorBidi" w:hAnsiTheme="majorBidi" w:cstheme="majorBidi"/>
          <w:sz w:val="24"/>
          <w:szCs w:val="24"/>
        </w:rPr>
        <w:t>.</w:t>
      </w:r>
      <w:r w:rsidR="002274EF">
        <w:rPr>
          <w:rFonts w:asciiTheme="majorBidi" w:hAnsiTheme="majorBidi" w:cstheme="majorBidi"/>
          <w:sz w:val="24"/>
          <w:szCs w:val="24"/>
        </w:rPr>
        <w:t xml:space="preserve"> </w:t>
      </w:r>
    </w:p>
    <w:p w:rsidR="00851808" w:rsidRPr="000075AE" w:rsidRDefault="001327E3" w:rsidP="008750FD">
      <w:pPr>
        <w:jc w:val="both"/>
        <w:rPr>
          <w:rFonts w:ascii="Calibri" w:eastAsia="Times New Roman" w:hAnsi="Calibri" w:cs="Times New Roman"/>
          <w:color w:val="000000"/>
        </w:rPr>
      </w:pPr>
      <w:r w:rsidRPr="001327E3">
        <w:rPr>
          <w:rFonts w:asciiTheme="majorBidi" w:hAnsiTheme="majorBidi" w:cstheme="majorBidi"/>
          <w:b/>
          <w:bCs/>
          <w:i/>
          <w:iCs/>
          <w:sz w:val="24"/>
          <w:szCs w:val="24"/>
        </w:rPr>
        <w:t>Methods: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F585B">
        <w:rPr>
          <w:rFonts w:asciiTheme="majorBidi" w:hAnsiTheme="majorBidi" w:cstheme="majorBidi"/>
          <w:sz w:val="24"/>
          <w:szCs w:val="24"/>
        </w:rPr>
        <w:t>Fourteen</w:t>
      </w:r>
      <w:r w:rsidR="002274EF">
        <w:rPr>
          <w:rFonts w:asciiTheme="majorBidi" w:hAnsiTheme="majorBidi" w:cstheme="majorBidi"/>
          <w:sz w:val="24"/>
          <w:szCs w:val="24"/>
        </w:rPr>
        <w:t xml:space="preserve"> </w:t>
      </w:r>
      <w:r w:rsidR="00EF585B">
        <w:rPr>
          <w:rFonts w:asciiTheme="majorBidi" w:hAnsiTheme="majorBidi" w:cstheme="majorBidi"/>
          <w:sz w:val="24"/>
          <w:szCs w:val="24"/>
        </w:rPr>
        <w:t xml:space="preserve">participants performed the simulation that included </w:t>
      </w:r>
      <w:r w:rsidR="00713CAC">
        <w:rPr>
          <w:rFonts w:asciiTheme="majorBidi" w:hAnsiTheme="majorBidi" w:cstheme="majorBidi"/>
          <w:sz w:val="24"/>
          <w:szCs w:val="24"/>
        </w:rPr>
        <w:t>1</w:t>
      </w:r>
      <w:r w:rsidR="00EF585B">
        <w:rPr>
          <w:rFonts w:asciiTheme="majorBidi" w:hAnsiTheme="majorBidi" w:cstheme="majorBidi"/>
          <w:sz w:val="24"/>
          <w:szCs w:val="24"/>
        </w:rPr>
        <w:t xml:space="preserve"> undergraduate student, </w:t>
      </w:r>
      <w:r w:rsidR="00713CAC">
        <w:rPr>
          <w:rFonts w:asciiTheme="majorBidi" w:hAnsiTheme="majorBidi" w:cstheme="majorBidi"/>
          <w:sz w:val="24"/>
          <w:szCs w:val="24"/>
        </w:rPr>
        <w:t xml:space="preserve">4 medical students, 1 post-doctoral research fellow, 5 residents, 2 clinical fellows, and 1 faculty. </w:t>
      </w:r>
      <w:r w:rsidR="003A244A">
        <w:rPr>
          <w:rFonts w:asciiTheme="majorBidi" w:hAnsiTheme="majorBidi" w:cstheme="majorBidi"/>
          <w:sz w:val="24"/>
          <w:szCs w:val="24"/>
        </w:rPr>
        <w:t>They were labeled into two</w:t>
      </w:r>
      <w:r w:rsidR="00FC3F52">
        <w:rPr>
          <w:rFonts w:asciiTheme="majorBidi" w:hAnsiTheme="majorBidi" w:cstheme="majorBidi"/>
          <w:sz w:val="24"/>
          <w:szCs w:val="24"/>
        </w:rPr>
        <w:t xml:space="preserve"> levels of</w:t>
      </w:r>
      <w:r w:rsidR="003A244A">
        <w:rPr>
          <w:rFonts w:asciiTheme="majorBidi" w:hAnsiTheme="majorBidi" w:cstheme="majorBidi"/>
          <w:sz w:val="24"/>
          <w:szCs w:val="24"/>
        </w:rPr>
        <w:t xml:space="preserve"> minimal/none</w:t>
      </w:r>
      <w:r w:rsidR="00C543FA">
        <w:rPr>
          <w:rFonts w:asciiTheme="majorBidi" w:hAnsiTheme="majorBidi" w:cstheme="majorBidi"/>
          <w:sz w:val="24"/>
          <w:szCs w:val="24"/>
        </w:rPr>
        <w:t xml:space="preserve"> and residence/training </w:t>
      </w:r>
      <w:r w:rsidR="00FC3F52">
        <w:rPr>
          <w:rFonts w:asciiTheme="majorBidi" w:hAnsiTheme="majorBidi" w:cstheme="majorBidi"/>
          <w:sz w:val="24"/>
          <w:szCs w:val="24"/>
        </w:rPr>
        <w:t>in</w:t>
      </w:r>
      <w:r w:rsidR="003A244A">
        <w:rPr>
          <w:rFonts w:asciiTheme="majorBidi" w:hAnsiTheme="majorBidi" w:cstheme="majorBidi"/>
          <w:sz w:val="24"/>
          <w:szCs w:val="24"/>
        </w:rPr>
        <w:t xml:space="preserve"> PCNL</w:t>
      </w:r>
      <w:r w:rsidR="00C543FA">
        <w:rPr>
          <w:rFonts w:asciiTheme="majorBidi" w:hAnsiTheme="majorBidi" w:cstheme="majorBidi"/>
          <w:sz w:val="24"/>
          <w:szCs w:val="24"/>
        </w:rPr>
        <w:t xml:space="preserve"> experience </w:t>
      </w:r>
      <w:r w:rsidR="003C0485">
        <w:rPr>
          <w:rFonts w:asciiTheme="majorBidi" w:hAnsiTheme="majorBidi" w:cstheme="majorBidi"/>
          <w:sz w:val="24"/>
          <w:szCs w:val="24"/>
        </w:rPr>
        <w:t>corresponding to</w:t>
      </w:r>
      <w:r w:rsidR="00C543FA">
        <w:rPr>
          <w:rFonts w:asciiTheme="majorBidi" w:hAnsiTheme="majorBidi" w:cstheme="majorBidi"/>
          <w:sz w:val="24"/>
          <w:szCs w:val="24"/>
        </w:rPr>
        <w:t xml:space="preserve"> novices and experts, respectively. </w:t>
      </w:r>
      <w:r w:rsidR="00851808" w:rsidRPr="00851808">
        <w:rPr>
          <w:rFonts w:asciiTheme="majorBidi" w:eastAsia="Times New Roman" w:hAnsiTheme="majorBidi" w:cstheme="majorBidi"/>
          <w:color w:val="000000"/>
          <w:sz w:val="24"/>
          <w:szCs w:val="24"/>
        </w:rPr>
        <w:t>In a quiet test environment using the two stone kidney model, the player removed both stones to complete the simulation.</w:t>
      </w:r>
      <w:r w:rsidR="00F50DC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10 </w:t>
      </w:r>
      <w:r w:rsidR="00D016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kinematic 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features were extracted </w:t>
      </w:r>
      <w:r w:rsidR="00F201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and normalized 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from </w:t>
      </w:r>
      <w:r w:rsidR="002975F4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>the simulation system data that included the mean value for the left and right tool in cumulative task time</w:t>
      </w:r>
      <w:r w:rsidR="00AC685D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2975F4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path length</w:t>
      </w:r>
      <w:r w:rsidR="00AC685D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="002975F4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mean</w:t>
      </w:r>
      <w:r w:rsidR="000075AE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975F4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>and variance</w:t>
      </w:r>
      <w:r w:rsidR="000075AE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975F4" w:rsidRPr="000075AE">
        <w:rPr>
          <w:rFonts w:asciiTheme="majorBidi" w:eastAsia="Times New Roman" w:hAnsiTheme="majorBidi" w:cstheme="majorBidi"/>
          <w:color w:val="000000"/>
          <w:sz w:val="24"/>
          <w:szCs w:val="24"/>
        </w:rPr>
        <w:t>velocity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>, and</w:t>
      </w:r>
      <w:r w:rsidR="000969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mean and variance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orientation in each</w:t>
      </w:r>
      <w:r w:rsidR="00EE370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of</w:t>
      </w:r>
      <w:r w:rsidR="002975F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F201A9" w:rsidRPr="00EE370E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x</w:t>
      </w:r>
      <w:r w:rsidR="00F201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="00F201A9" w:rsidRPr="00EE370E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y</w:t>
      </w:r>
      <w:r w:rsidR="00F201A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and </w:t>
      </w:r>
      <w:r w:rsidR="00F201A9" w:rsidRPr="00EE370E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  <w:sz w:val="24"/>
          <w:szCs w:val="24"/>
        </w:rPr>
        <w:t>z</w:t>
      </w:r>
      <w:r w:rsidR="00425DF8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  <w:sz w:val="24"/>
          <w:szCs w:val="24"/>
        </w:rPr>
        <w:t xml:space="preserve"> </w:t>
      </w:r>
      <w:r w:rsidR="00F201A9" w:rsidRPr="006845B1"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t>axes</w:t>
      </w:r>
      <w:r w:rsidR="00F201A9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425DF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8750FD">
        <w:rPr>
          <w:rFonts w:asciiTheme="majorBidi" w:eastAsia="Times New Roman" w:hAnsiTheme="majorBidi" w:cstheme="majorBidi"/>
          <w:color w:val="000000"/>
          <w:sz w:val="24"/>
          <w:szCs w:val="24"/>
        </w:rPr>
        <w:t>The summary statistics by class</w:t>
      </w:r>
      <w:r w:rsidR="002735E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each feature</w:t>
      </w:r>
      <w:r w:rsidR="008750F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provided in Table 1.</w:t>
      </w:r>
      <w:r w:rsidR="001125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Linear discriminant analysis </w:t>
      </w:r>
      <w:r w:rsidR="00EB3C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with diagonal </w:t>
      </w:r>
      <w:r w:rsidR="00086303">
        <w:rPr>
          <w:rFonts w:asciiTheme="majorBidi" w:eastAsia="Times New Roman" w:hAnsiTheme="majorBidi" w:cstheme="majorBidi"/>
          <w:color w:val="000000"/>
          <w:sz w:val="24"/>
          <w:szCs w:val="24"/>
        </w:rPr>
        <w:t>co</w:t>
      </w:r>
      <w:r w:rsidR="00EB3C9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variance regularization </w:t>
      </w:r>
      <w:r w:rsidR="001125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was employed for the classification. </w:t>
      </w:r>
    </w:p>
    <w:p w:rsidR="001327E3" w:rsidRPr="00086303" w:rsidRDefault="001327E3" w:rsidP="00147199">
      <w:pPr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327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Results:</w:t>
      </w:r>
      <w:r w:rsidR="0008630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 xml:space="preserve"> </w:t>
      </w:r>
      <w:r w:rsidR="00086303">
        <w:rPr>
          <w:rFonts w:asciiTheme="majorBidi" w:eastAsia="Times New Roman" w:hAnsiTheme="majorBidi" w:cstheme="majorBidi"/>
          <w:color w:val="000000"/>
          <w:sz w:val="24"/>
          <w:szCs w:val="24"/>
        </w:rPr>
        <w:t>The surgeon skill classification was performed on 14 PCNL cases. Linear discriminant model was trained and validated using the aforementioned features by a 5-fold cross-</w:t>
      </w:r>
      <w:r w:rsidR="0014719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validation with a test accuracy of 85.7% in classifying the skills. </w:t>
      </w:r>
      <w:r w:rsidR="0008630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</w:p>
    <w:p w:rsidR="003508E6" w:rsidRPr="00375B77" w:rsidRDefault="001327E3" w:rsidP="00654CBF">
      <w:pPr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327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Conclusion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s</w:t>
      </w:r>
      <w:r w:rsidRPr="001327E3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:</w:t>
      </w:r>
      <w:r w:rsidR="00D57A2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6845B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method was able to </w:t>
      </w:r>
      <w:r w:rsidR="00201B28">
        <w:rPr>
          <w:rFonts w:asciiTheme="majorBidi" w:eastAsia="Times New Roman" w:hAnsiTheme="majorBidi" w:cstheme="majorBidi"/>
          <w:color w:val="000000"/>
          <w:sz w:val="24"/>
          <w:szCs w:val="24"/>
        </w:rPr>
        <w:t>reliably and accurately classify the skill level</w:t>
      </w:r>
      <w:r w:rsidR="00A61B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of</w:t>
      </w:r>
      <w:r w:rsidR="00201B2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A61B9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surgeons </w:t>
      </w:r>
      <w:r w:rsidR="00201B28">
        <w:rPr>
          <w:rFonts w:asciiTheme="majorBidi" w:eastAsia="Times New Roman" w:hAnsiTheme="majorBidi" w:cstheme="majorBidi"/>
          <w:color w:val="000000"/>
          <w:sz w:val="24"/>
          <w:szCs w:val="24"/>
        </w:rPr>
        <w:t>based on simple movement characteristics of the surgical tool that can be</w:t>
      </w:r>
      <w:r w:rsidR="006845B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201B28">
        <w:rPr>
          <w:rFonts w:asciiTheme="majorBidi" w:eastAsia="Times New Roman" w:hAnsiTheme="majorBidi" w:cstheme="majorBidi"/>
          <w:color w:val="000000"/>
          <w:sz w:val="24"/>
          <w:szCs w:val="24"/>
        </w:rPr>
        <w:t>used in the development of quantitative surgical assessment systems for the training purposes.</w:t>
      </w:r>
    </w:p>
    <w:p w:rsidR="002735E5" w:rsidRPr="002735E5" w:rsidRDefault="002735E5" w:rsidP="002735E5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Table </w:t>
      </w: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Pr="002735E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1</w:t>
      </w: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2735E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: The summary statistics by class for each feature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340"/>
        <w:gridCol w:w="2340"/>
      </w:tblGrid>
      <w:tr w:rsidR="00880FAD" w:rsidTr="00494367">
        <w:trPr>
          <w:jc w:val="center"/>
        </w:trPr>
        <w:tc>
          <w:tcPr>
            <w:tcW w:w="3055" w:type="dxa"/>
            <w:vMerge w:val="restart"/>
            <w:vAlign w:val="center"/>
          </w:tcPr>
          <w:p w:rsidR="00880FAD" w:rsidRPr="00F468F7" w:rsidRDefault="00880FAD" w:rsidP="00880FA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bookmarkStart w:id="0" w:name="_GoBack"/>
            <w:r w:rsidRPr="00F468F7">
              <w:rPr>
                <w:rFonts w:asciiTheme="majorBidi" w:hAnsiTheme="majorBidi" w:cstheme="majorBidi"/>
                <w:b/>
                <w:bCs/>
              </w:rPr>
              <w:t>Features</w:t>
            </w:r>
          </w:p>
        </w:tc>
        <w:tc>
          <w:tcPr>
            <w:tcW w:w="4680" w:type="dxa"/>
            <w:gridSpan w:val="2"/>
          </w:tcPr>
          <w:p w:rsidR="00880FAD" w:rsidRPr="00F468F7" w:rsidRDefault="00880FAD" w:rsidP="007D369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468F7">
              <w:rPr>
                <w:rFonts w:asciiTheme="majorBidi" w:hAnsiTheme="majorBidi" w:cstheme="majorBidi"/>
                <w:b/>
                <w:bCs/>
              </w:rPr>
              <w:t>Mean (SD)</w:t>
            </w:r>
          </w:p>
        </w:tc>
      </w:tr>
      <w:tr w:rsidR="00880FAD" w:rsidTr="00494367">
        <w:trPr>
          <w:jc w:val="center"/>
        </w:trPr>
        <w:tc>
          <w:tcPr>
            <w:tcW w:w="3055" w:type="dxa"/>
            <w:vMerge/>
          </w:tcPr>
          <w:p w:rsidR="00880FAD" w:rsidRPr="007D369D" w:rsidRDefault="00880FAD" w:rsidP="007D369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880FAD" w:rsidRPr="00F468F7" w:rsidRDefault="00880FAD" w:rsidP="007D369D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468F7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Novices</w:t>
            </w:r>
          </w:p>
        </w:tc>
        <w:tc>
          <w:tcPr>
            <w:tcW w:w="2340" w:type="dxa"/>
          </w:tcPr>
          <w:p w:rsidR="00880FAD" w:rsidRPr="00F468F7" w:rsidRDefault="00880FAD" w:rsidP="007D369D">
            <w:pPr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468F7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Experts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FC3F52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eastAsia="Times New Roman" w:hAnsiTheme="majorBidi" w:cstheme="majorBidi"/>
                <w:color w:val="000000"/>
              </w:rPr>
              <w:t>C</w:t>
            </w:r>
            <w:r w:rsidRPr="007D369D">
              <w:rPr>
                <w:rFonts w:asciiTheme="majorBidi" w:eastAsia="Times New Roman" w:hAnsiTheme="majorBidi" w:cstheme="majorBidi"/>
                <w:color w:val="000000"/>
              </w:rPr>
              <w:t>umulative task time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(s)</w:t>
            </w:r>
          </w:p>
        </w:tc>
        <w:tc>
          <w:tcPr>
            <w:tcW w:w="2340" w:type="dxa"/>
          </w:tcPr>
          <w:p w:rsidR="00F46B98" w:rsidRPr="005D2ED1" w:rsidRDefault="00F00406" w:rsidP="00F0040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85.43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28.97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59.56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41.66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eastAsia="Times New Roman" w:hAnsiTheme="majorBidi" w:cstheme="majorBidi"/>
                <w:color w:val="000000"/>
              </w:rPr>
              <w:t>P</w:t>
            </w:r>
            <w:r w:rsidRPr="007D369D">
              <w:rPr>
                <w:rFonts w:asciiTheme="majorBidi" w:eastAsia="Times New Roman" w:hAnsiTheme="majorBidi" w:cstheme="majorBidi"/>
                <w:color w:val="000000"/>
              </w:rPr>
              <w:t>ath length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(m)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3.61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1.39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2.06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1.97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</w:rPr>
              <w:t>Mean velocity</w:t>
            </w:r>
            <w:r>
              <w:rPr>
                <w:rFonts w:asciiTheme="majorBidi" w:hAnsiTheme="majorBidi" w:cstheme="majorBidi"/>
              </w:rPr>
              <w:t xml:space="preserve"> (m/s)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0.05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0.04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</w:rPr>
              <w:t xml:space="preserve">Mean </w:t>
            </w: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x</w:t>
            </w:r>
            <w:r w:rsidRPr="007D369D">
              <w:rPr>
                <w:rFonts w:asciiTheme="majorBidi" w:hAnsiTheme="majorBidi" w:cstheme="majorBidi"/>
              </w:rPr>
              <w:t xml:space="preserve"> orientation</w:t>
            </w:r>
            <w:r>
              <w:rPr>
                <w:rFonts w:asciiTheme="majorBidi" w:hAnsiTheme="majorBidi" w:cstheme="majorBidi"/>
              </w:rPr>
              <w:t xml:space="preserve"> (deg)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316.63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27.13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330.98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53.89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</w:rPr>
              <w:t xml:space="preserve">Mean </w:t>
            </w: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y</w:t>
            </w:r>
            <w:r w:rsidRPr="007D369D">
              <w:rPr>
                <w:rFonts w:asciiTheme="majorBidi" w:hAnsiTheme="majorBidi" w:cstheme="majorBidi"/>
              </w:rPr>
              <w:t xml:space="preserve"> </w:t>
            </w:r>
            <w:r w:rsidRPr="007D369D">
              <w:rPr>
                <w:rFonts w:asciiTheme="majorBidi" w:hAnsiTheme="majorBidi" w:cstheme="majorBidi"/>
              </w:rPr>
              <w:t>orientation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(deg)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323.55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23.07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314.08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27.1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</w:rPr>
              <w:t xml:space="preserve">Mean </w:t>
            </w: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z</w:t>
            </w:r>
            <w:r w:rsidRPr="007D369D">
              <w:rPr>
                <w:rFonts w:asciiTheme="majorBidi" w:hAnsiTheme="majorBidi" w:cstheme="majorBidi"/>
              </w:rPr>
              <w:t xml:space="preserve"> orientation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(deg)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143.64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80.38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375B77" w:rsidP="00375B7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223.79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82.03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F46B98" w:rsidTr="00494367">
        <w:trPr>
          <w:jc w:val="center"/>
        </w:trPr>
        <w:tc>
          <w:tcPr>
            <w:tcW w:w="3055" w:type="dxa"/>
          </w:tcPr>
          <w:p w:rsidR="00F46B98" w:rsidRPr="007D369D" w:rsidRDefault="00F46B98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</w:rPr>
              <w:t>Velocity v</w:t>
            </w:r>
            <w:r w:rsidRPr="007D369D">
              <w:rPr>
                <w:rFonts w:asciiTheme="majorBidi" w:hAnsiTheme="majorBidi" w:cstheme="majorBidi"/>
              </w:rPr>
              <w:t>ariance</w:t>
            </w:r>
            <w:r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m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>
              <w:rPr>
                <w:rFonts w:asciiTheme="majorBidi" w:hAnsiTheme="majorBidi" w:cstheme="majorBidi"/>
              </w:rPr>
              <w:t>/s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40" w:type="dxa"/>
          </w:tcPr>
          <w:p w:rsidR="00F46B98" w:rsidRPr="005D2ED1" w:rsidRDefault="00612A7E" w:rsidP="00612A7E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0.04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0.02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F46B98" w:rsidRPr="005D2ED1" w:rsidRDefault="00612A7E" w:rsidP="00612A7E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0.01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(0.05)</w:t>
            </w:r>
          </w:p>
        </w:tc>
      </w:tr>
      <w:tr w:rsidR="00375B77" w:rsidTr="00494367">
        <w:trPr>
          <w:jc w:val="center"/>
        </w:trPr>
        <w:tc>
          <w:tcPr>
            <w:tcW w:w="3055" w:type="dxa"/>
          </w:tcPr>
          <w:p w:rsidR="00375B77" w:rsidRPr="007D369D" w:rsidRDefault="00375B77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x</w:t>
            </w:r>
            <w:r w:rsidRPr="007D369D">
              <w:rPr>
                <w:rFonts w:asciiTheme="majorBidi" w:hAnsiTheme="majorBidi" w:cstheme="majorBidi"/>
              </w:rPr>
              <w:t xml:space="preserve"> orientation variance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(deg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5D2ED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10232.09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5811.34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5D2ED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7562.37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7542.65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375B77" w:rsidTr="00494367">
        <w:trPr>
          <w:jc w:val="center"/>
        </w:trPr>
        <w:tc>
          <w:tcPr>
            <w:tcW w:w="3055" w:type="dxa"/>
          </w:tcPr>
          <w:p w:rsidR="00375B77" w:rsidRPr="007D369D" w:rsidRDefault="00375B77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y</w:t>
            </w:r>
            <w:r w:rsidRPr="007D369D">
              <w:rPr>
                <w:rFonts w:asciiTheme="majorBidi" w:hAnsiTheme="majorBidi" w:cstheme="majorBidi"/>
              </w:rPr>
              <w:t xml:space="preserve"> orientation variance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(deg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49436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7898.49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6232.55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5D2ED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10530.08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5684.53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tr w:rsidR="00375B77" w:rsidTr="00494367">
        <w:trPr>
          <w:jc w:val="center"/>
        </w:trPr>
        <w:tc>
          <w:tcPr>
            <w:tcW w:w="3055" w:type="dxa"/>
          </w:tcPr>
          <w:p w:rsidR="00375B77" w:rsidRPr="007D369D" w:rsidRDefault="00375B77" w:rsidP="0015641D">
            <w:pPr>
              <w:jc w:val="both"/>
              <w:rPr>
                <w:rFonts w:asciiTheme="majorBidi" w:hAnsiTheme="majorBidi" w:cstheme="majorBidi"/>
              </w:rPr>
            </w:pPr>
            <w:r w:rsidRPr="007D369D">
              <w:rPr>
                <w:rFonts w:asciiTheme="majorBidi" w:hAnsiTheme="majorBidi" w:cstheme="majorBidi"/>
                <w:b/>
                <w:bCs/>
                <w:i/>
                <w:iCs/>
              </w:rPr>
              <w:t>z</w:t>
            </w:r>
            <w:r w:rsidRPr="007D369D">
              <w:rPr>
                <w:rFonts w:asciiTheme="majorBidi" w:hAnsiTheme="majorBidi" w:cstheme="majorBidi"/>
              </w:rPr>
              <w:t xml:space="preserve"> orientation variance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(deg</w:t>
            </w:r>
            <w:r>
              <w:rPr>
                <w:rFonts w:asciiTheme="majorBidi" w:hAnsiTheme="majorBidi" w:cstheme="majorBidi"/>
                <w:vertAlign w:val="superscript"/>
              </w:rPr>
              <w:t>2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5D2ED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11886.43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10055.88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:rsidR="00375B77" w:rsidRPr="005D2ED1" w:rsidRDefault="00494367" w:rsidP="005D2ED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6490.5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(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6411.89</w:t>
            </w:r>
            <w:r w:rsidRPr="005D2ED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</w:t>
            </w:r>
          </w:p>
        </w:tc>
      </w:tr>
      <w:bookmarkEnd w:id="0"/>
    </w:tbl>
    <w:p w:rsidR="0015641D" w:rsidRDefault="0015641D" w:rsidP="00FC3F52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15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NDA0MzI0NwcSZko6SsGpxcWZ+XkgBSa1AA1A55ksAAAA"/>
  </w:docVars>
  <w:rsids>
    <w:rsidRoot w:val="00BA419C"/>
    <w:rsid w:val="000075AE"/>
    <w:rsid w:val="00086303"/>
    <w:rsid w:val="00096984"/>
    <w:rsid w:val="000F3805"/>
    <w:rsid w:val="00112544"/>
    <w:rsid w:val="001327E3"/>
    <w:rsid w:val="00147199"/>
    <w:rsid w:val="0015641D"/>
    <w:rsid w:val="00201B28"/>
    <w:rsid w:val="002274EF"/>
    <w:rsid w:val="002735E5"/>
    <w:rsid w:val="002975F4"/>
    <w:rsid w:val="002C7C7E"/>
    <w:rsid w:val="003508E6"/>
    <w:rsid w:val="00355860"/>
    <w:rsid w:val="00375B77"/>
    <w:rsid w:val="003A244A"/>
    <w:rsid w:val="003C0485"/>
    <w:rsid w:val="003D6D11"/>
    <w:rsid w:val="00425DF8"/>
    <w:rsid w:val="00494367"/>
    <w:rsid w:val="005B554F"/>
    <w:rsid w:val="005D2ED1"/>
    <w:rsid w:val="005F11B3"/>
    <w:rsid w:val="00612A7E"/>
    <w:rsid w:val="00654CBF"/>
    <w:rsid w:val="006845B1"/>
    <w:rsid w:val="00713CAC"/>
    <w:rsid w:val="00737E65"/>
    <w:rsid w:val="0076356B"/>
    <w:rsid w:val="007D369D"/>
    <w:rsid w:val="00851808"/>
    <w:rsid w:val="008750FD"/>
    <w:rsid w:val="00880FAD"/>
    <w:rsid w:val="00943C19"/>
    <w:rsid w:val="00A61B96"/>
    <w:rsid w:val="00AC685D"/>
    <w:rsid w:val="00BA419C"/>
    <w:rsid w:val="00C543FA"/>
    <w:rsid w:val="00C94BF6"/>
    <w:rsid w:val="00D0169C"/>
    <w:rsid w:val="00D57A2A"/>
    <w:rsid w:val="00DA18BE"/>
    <w:rsid w:val="00DD2EA5"/>
    <w:rsid w:val="00E22AD8"/>
    <w:rsid w:val="00EB3C9A"/>
    <w:rsid w:val="00EE370E"/>
    <w:rsid w:val="00EF585B"/>
    <w:rsid w:val="00F00406"/>
    <w:rsid w:val="00F01FBF"/>
    <w:rsid w:val="00F10C49"/>
    <w:rsid w:val="00F201A9"/>
    <w:rsid w:val="00F468F7"/>
    <w:rsid w:val="00F46B98"/>
    <w:rsid w:val="00F50DCA"/>
    <w:rsid w:val="00FC3F52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92DE5-9E58-4BFB-AFBB-C8EF0A3C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70E"/>
    <w:rPr>
      <w:color w:val="808080"/>
    </w:rPr>
  </w:style>
  <w:style w:type="table" w:styleId="TableGrid">
    <w:name w:val="Table Grid"/>
    <w:basedOn w:val="TableNormal"/>
    <w:uiPriority w:val="39"/>
    <w:rsid w:val="0015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35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E4F02B-D3B3-4B7A-B437-D7E557BD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Baghdadi</dc:creator>
  <cp:keywords/>
  <dc:description/>
  <cp:lastModifiedBy>Amir Baghdadi</cp:lastModifiedBy>
  <cp:revision>49</cp:revision>
  <dcterms:created xsi:type="dcterms:W3CDTF">2018-02-22T16:22:00Z</dcterms:created>
  <dcterms:modified xsi:type="dcterms:W3CDTF">2018-02-22T22:52:00Z</dcterms:modified>
</cp:coreProperties>
</file>