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rPr>
        <w:t xml:space="preserve"/>
      </w:r>
    </w:p>
    <w:p>
      <w:pPr/>
      <w:r>
        <w:rPr>
          <w:rFonts w:ascii="Times New Roman" w:hAnsi="Times New Roman" w:cs="Times New Roman"/>
          <w:sz w:val="24"/>
          <w:sz-cs w:val="24"/>
        </w:rPr>
        <w:t xml:space="preserve"/>
      </w:r>
    </w:p>
    <w:p>
      <w:pPr/>
      <w:r>
        <w:rPr>
          <w:rFonts w:ascii="Arial" w:hAnsi="Arial" w:cs="Arial"/>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36"/>
          <w:sz-cs w:val="36"/>
          <w:b/>
        </w:rPr>
        <w:t xml:space="preserve">ERCOT Planning Guide</w:t>
      </w:r>
    </w:p>
    <w:p>
      <w:pPr>
        <w:jc w:val="center"/>
        <w:spacing w:before="120" w:after="120"/>
      </w:pPr>
      <w:r>
        <w:rPr>
          <w:rFonts w:ascii="Times New Roman" w:hAnsi="Times New Roman" w:cs="Times New Roman"/>
          <w:sz w:val="36"/>
          <w:sz-cs w:val="36"/>
          <w:b/>
        </w:rPr>
        <w:t xml:space="preserve">Section 7:  </w:t>
      </w:r>
      <w:r>
        <w:rPr>
          <w:rFonts w:ascii="Times New Roman" w:hAnsi="Times New Roman" w:cs="Times New Roman"/>
          <w:sz w:val="24"/>
          <w:sz-cs w:val="24"/>
        </w:rPr>
        <w:t xml:space="preserve"> </w:t>
      </w:r>
      <w:r>
        <w:rPr>
          <w:rFonts w:ascii="Times New Roman" w:hAnsi="Times New Roman" w:cs="Times New Roman"/>
          <w:sz w:val="36"/>
          <w:sz-cs w:val="36"/>
          <w:b/>
        </w:rPr>
        <w:t xml:space="preserve">Market Data Transparency</w:t>
      </w:r>
    </w:p>
    <w:p>
      <w:pPr>
        <w:jc w:val="center"/>
        <w:spacing w:before="360"/>
      </w:pPr>
      <w:r>
        <w:rPr>
          <w:rFonts w:ascii="Times New Roman" w:hAnsi="Times New Roman" w:cs="Times New Roman"/>
          <w:sz w:val="24"/>
          <w:sz-cs w:val="24"/>
          <w:b/>
        </w:rPr>
        <w:t xml:space="preserve">December 1, 2025</w:t>
      </w:r>
    </w:p>
    <w:p>
      <w:pPr>
        <w:jc w:val="center"/>
      </w:pPr>
      <w:r>
        <w:rPr>
          <w:rFonts w:ascii="Times New Roman" w:hAnsi="Times New Roman" w:cs="Times New Roman"/>
          <w:sz w:val="36"/>
          <w:sz-cs w:val="36"/>
        </w:rPr>
        <w:t xml:space="preserve"/>
      </w:r>
    </w:p>
    <w:p>
      <w:pPr>
        <w:jc w:val="center"/>
      </w:pPr>
      <w:r>
        <w:rPr>
          <w:rFonts w:ascii="Times" w:hAnsi="Times" w:cs="Times"/>
          <w:sz w:val="44"/>
          <w:sz-cs w:val="44"/>
        </w:rPr>
        <w:t xml:space="preserve"/>
      </w:r>
    </w:p>
    <w:p>
      <w:pPr>
        <w:jc w:val="center"/>
      </w:pPr>
      <w:r>
        <w:rPr>
          <w:rFonts w:ascii="Times" w:hAnsi="Times" w:cs="Times"/>
          <w:sz w:val="22"/>
          <w:sz-cs w:val="22"/>
        </w:rPr>
        <w:t xml:space="preserve"/>
      </w:r>
    </w:p>
    <w:p>
      <w:pPr>
        <w:jc w:val="center"/>
      </w:pPr>
      <w:r>
        <w:rPr>
          <w:rFonts w:ascii="Times" w:hAnsi="Times" w:cs="Times"/>
          <w:sz w:val="22"/>
          <w:sz-cs w:val="22"/>
          <w:b/>
        </w:rPr>
        <w:t xml:space="preserve"/>
      </w:r>
    </w:p>
    <w:p>
      <w:pPr>
        <w:jc w:val="center"/>
      </w:pPr>
      <w:r>
        <w:rPr>
          <w:rFonts w:ascii="Times" w:hAnsi="Times" w:cs="Times"/>
          <w:sz w:val="22"/>
          <w:sz-cs w:val="22"/>
          <w:b/>
        </w:rPr>
        <w:t xml:space="preserve"/>
      </w:r>
    </w:p>
    <w:p>
      <w:pPr/>
      <w:r>
        <w:rPr>
          <w:rFonts w:ascii="Times New Roman" w:hAnsi="Times New Roman" w:cs="Times New Roman"/>
          <w:sz w:val="24"/>
          <w:sz-cs w:val="24"/>
        </w:rPr>
        <w:t xml:space="preserve"/>
      </w:r>
    </w:p>
    <w:p>
      <w:pPr>
        <w:spacing w:before="120" w:after="120"/>
      </w:pPr>
      <w:r>
        <w:rPr>
          <w:rFonts w:ascii="Times New Roman" w:hAnsi="Times New Roman" w:cs="Times New Roman"/>
          <w:sz w:val="20"/>
          <w:sz-cs w:val="20"/>
          <w:b/>
        </w:rPr>
        <w:t xml:space="preserve"/>
        <w:br w:type="page"/>
        <w:t xml:space="preserve"> TOC \O "1-3" \H \Z \U </w:t>
      </w:r>
      <w:r>
        <w:rPr>
          <w:rFonts w:ascii="Times New Roman" w:hAnsi="Times New Roman" w:cs="Times New Roman"/>
          <w:sz w:val="24"/>
          <w:sz-cs w:val="24"/>
          <w:u w:val="single"/>
          <w:color w:val="0000FF"/>
        </w:rPr>
        <w:t xml:space="preserve"> </w:t>
      </w:r>
      <w:r>
        <w:rPr>
          <w:rFonts w:ascii="Times New Roman" w:hAnsi="Times New Roman" w:cs="Times New Roman"/>
          <w:sz w:val="20"/>
          <w:sz-cs w:val="20"/>
          <w:b/>
        </w:rPr>
        <w:t xml:space="preserve">HYPERLINK \L "_TOC396483603"</w:t>
      </w:r>
      <w:r>
        <w:rPr>
          <w:rFonts w:ascii="Times New Roman" w:hAnsi="Times New Roman" w:cs="Times New Roman"/>
          <w:sz w:val="24"/>
          <w:sz-cs w:val="24"/>
          <w:u w:val="single"/>
          <w:color w:val="0000FF"/>
        </w:rPr>
        <w:t xml:space="preserve"> 7</w:t>
      </w:r>
      <w:r>
        <w:rPr>
          <w:rFonts w:ascii="Times" w:hAnsi="Times" w:cs="Times"/>
          <w:sz w:val="22"/>
          <w:sz-cs w:val="22"/>
          <w:b/>
        </w:rPr>
        <w:t xml:space="preserve"/>
        <w:tab/>
        <w:t xml:space="preserve"/>
      </w:r>
      <w:r>
        <w:rPr>
          <w:rFonts w:ascii="Times New Roman" w:hAnsi="Times New Roman" w:cs="Times New Roman"/>
          <w:sz w:val="24"/>
          <w:sz-cs w:val="24"/>
          <w:u w:val="single"/>
          <w:color w:val="0000FF"/>
        </w:rPr>
        <w:t xml:space="preserve">Market Data Transparency</w:t>
      </w:r>
      <w:r>
        <w:rPr>
          <w:rFonts w:ascii="Times New Roman" w:hAnsi="Times New Roman" w:cs="Times New Roman"/>
          <w:sz w:val="20"/>
          <w:sz-cs w:val="20"/>
          <w:b/>
        </w:rPr>
        <w:t xml:space="preserve"/>
        <w:tab/>
        <w:t xml:space="preserve"> PAGEREF _TOC396483603 \H 1</w:t>
      </w:r>
      <w:r>
        <w:rPr>
          <w:rFonts w:ascii="Times" w:hAnsi="Times" w:cs="Times"/>
          <w:sz w:val="22"/>
          <w:sz-cs w:val="22"/>
          <w:b/>
        </w:rPr>
        <w:t xml:space="preserve"/>
      </w:r>
    </w:p>
    <w:p>
      <w:pPr>
        <w:ind w:left="240"/>
      </w:pPr>
      <w:r>
        <w:rPr>
          <w:rFonts w:ascii="Times New Roman" w:hAnsi="Times New Roman" w:cs="Times New Roman"/>
          <w:sz w:val="24"/>
          <w:sz-cs w:val="24"/>
          <w:u w:val="single"/>
          <w:color w:val="0000FF"/>
        </w:rPr>
        <w:t xml:space="preserve"> </w:t>
      </w:r>
      <w:r>
        <w:rPr>
          <w:rFonts w:ascii="Times New Roman" w:hAnsi="Times New Roman" w:cs="Times New Roman"/>
          <w:sz w:val="20"/>
          <w:sz-cs w:val="20"/>
        </w:rPr>
        <w:t xml:space="preserve">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396483604"</w:t>
      </w:r>
      <w:r>
        <w:rPr>
          <w:rFonts w:ascii="Times New Roman" w:hAnsi="Times New Roman" w:cs="Times New Roman"/>
          <w:sz w:val="24"/>
          <w:sz-cs w:val="24"/>
          <w:u w:val="single"/>
          <w:color w:val="0000FF"/>
        </w:rPr>
        <w:t xml:space="preserve"> 7.1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Planning Data and Information</w:t>
      </w:r>
      <w:r>
        <w:rPr>
          <w:rFonts w:ascii="Times New Roman" w:hAnsi="Times New Roman" w:cs="Times New Roman"/>
          <w:sz w:val="20"/>
          <w:sz-cs w:val="20"/>
        </w:rPr>
        <w:t xml:space="preserve"/>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396483604 \</w:t>
      </w:r>
      <w:r>
        <w:rPr>
          <w:rFonts w:ascii="Times New Roman" w:hAnsi="Times New Roman" w:cs="Times New Roman"/>
          <w:sz w:val="16"/>
          <w:sz-cs w:val="16"/>
        </w:rPr>
        <w:t xml:space="preserve">H</w:t>
      </w:r>
      <w:r>
        <w:rPr>
          <w:rFonts w:ascii="Times New Roman" w:hAnsi="Times New Roman" w:cs="Times New Roman"/>
          <w:sz w:val="20"/>
          <w:sz-cs w:val="20"/>
        </w:rPr>
        <w:t xml:space="preserve"> 1</w:t>
      </w:r>
      <w:r>
        <w:rPr>
          <w:rFonts w:ascii="Times" w:hAnsi="Times" w:cs="Times"/>
          <w:sz w:val="22"/>
          <w:sz-cs w:val="2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br w:type="page"/>
        <w:t xml:space="preserve">7</w:t>
        <w:tab/>
        <w:t xml:space="preserve">MARKET DATA TRANSPARENCY</w:t>
      </w:r>
    </w:p>
    <w:p>
      <w:pPr>
        <w:spacing w:before="240"/>
      </w:pPr>
      <w:r>
        <w:rPr>
          <w:rFonts w:ascii="Times New Roman" w:hAnsi="Times New Roman" w:cs="Times New Roman"/>
          <w:sz w:val="24"/>
          <w:sz-cs w:val="24"/>
          <w:b/>
          <w:i/>
        </w:rPr>
        <w:t xml:space="preserve">7.1</w:t>
        <w:tab/>
        <w:t xml:space="preserve">Planning Data and Information</w:t>
      </w:r>
      <w:r>
        <w:rPr>
          <w:rFonts w:ascii="Times New Roman" w:hAnsi="Times New Roman" w:cs="Times New Roman"/>
          <w:sz w:val="24"/>
          <w:sz-cs w:val="24"/>
        </w:rPr>
        <w:t xml:space="preserve"/>
      </w:r>
    </w:p>
    <w:p>
      <w:pPr>
        <w:ind w:left="720" w:first-line="-720"/>
        <w:spacing w:after="240"/>
      </w:pPr>
      <w:r>
        <w:rPr>
          <w:rFonts w:ascii="Times New Roman" w:hAnsi="Times New Roman" w:cs="Times New Roman"/>
          <w:sz w:val="24"/>
          <w:sz-cs w:val="24"/>
        </w:rPr>
        <w:t xml:space="preserve">(1)</w:t>
        <w:tab/>
        <w:t xml:space="preserve">The information available on the ERCOT website or applicable Market Information System (MIS) (i.e., Secure or Certified Areas) includes, but is not limited to, planning information pertaining to the following:</w:t>
      </w:r>
    </w:p>
    <w:p>
      <w:pPr>
        <w:ind w:left="1440"/>
        <w:spacing w:after="240"/>
      </w:pPr>
      <w:r>
        <w:rPr>
          <w:rFonts w:ascii="Times New Roman" w:hAnsi="Times New Roman" w:cs="Times New Roman"/>
          <w:sz w:val="24"/>
          <w:sz-cs w:val="24"/>
        </w:rPr>
        <w:t xml:space="preserve">(a)</w:t>
        <w:tab/>
        <w:t xml:space="preserve">Long-term planning;</w:t>
      </w:r>
    </w:p>
    <w:p>
      <w:pPr>
        <w:ind w:left="1440"/>
        <w:spacing w:after="240"/>
      </w:pPr>
      <w:r>
        <w:rPr>
          <w:rFonts w:ascii="Times New Roman" w:hAnsi="Times New Roman" w:cs="Times New Roman"/>
          <w:sz w:val="24"/>
          <w:sz-cs w:val="24"/>
        </w:rPr>
        <w:t xml:space="preserve">(b)</w:t>
        <w:tab/>
        <w:t xml:space="preserve">Regional transmission planning;</w:t>
      </w:r>
    </w:p>
    <w:p>
      <w:pPr>
        <w:ind w:left="1440"/>
        <w:spacing w:after="240"/>
      </w:pPr>
      <w:r>
        <w:rPr>
          <w:rFonts w:ascii="Times New Roman" w:hAnsi="Times New Roman" w:cs="Times New Roman"/>
          <w:sz w:val="24"/>
          <w:sz-cs w:val="24"/>
        </w:rPr>
        <w:t xml:space="preserve">(c)</w:t>
        <w:tab/>
        <w:t xml:space="preserve">Steady state data;</w:t>
      </w:r>
    </w:p>
    <w:p>
      <w:pPr>
        <w:ind w:left="1440"/>
        <w:spacing w:after="240"/>
      </w:pPr>
      <w:r>
        <w:rPr>
          <w:rFonts w:ascii="Times New Roman" w:hAnsi="Times New Roman" w:cs="Times New Roman"/>
          <w:sz w:val="24"/>
          <w:sz-cs w:val="24"/>
        </w:rPr>
        <w:t xml:space="preserve">(d)</w:t>
        <w:tab/>
        <w:t xml:space="preserve">Resource integration;</w:t>
      </w:r>
    </w:p>
    <w:p>
      <w:pPr>
        <w:ind w:left="1440"/>
        <w:spacing w:after="240"/>
      </w:pPr>
      <w:r>
        <w:rPr>
          <w:rFonts w:ascii="Times New Roman" w:hAnsi="Times New Roman" w:cs="Times New Roman"/>
          <w:sz w:val="24"/>
          <w:sz-cs w:val="24"/>
        </w:rPr>
        <w:t xml:space="preserve">(e)</w:t>
        <w:tab/>
        <w:t xml:space="preserve">Case studies and files used in planning;</w:t>
      </w:r>
    </w:p>
    <w:p>
      <w:pPr>
        <w:ind w:left="1440"/>
        <w:spacing w:after="240"/>
      </w:pPr>
      <w:r>
        <w:rPr>
          <w:rFonts w:ascii="Times New Roman" w:hAnsi="Times New Roman" w:cs="Times New Roman"/>
          <w:sz w:val="24"/>
          <w:sz-cs w:val="24"/>
        </w:rPr>
        <w:t xml:space="preserve">(f)</w:t>
        <w:tab/>
        <w:t xml:space="preserve">Model information; and</w:t>
      </w:r>
    </w:p>
    <w:p>
      <w:pPr>
        <w:ind w:left="1440"/>
        <w:spacing w:after="240"/>
      </w:pPr>
      <w:r>
        <w:rPr>
          <w:rFonts w:ascii="Times New Roman" w:hAnsi="Times New Roman" w:cs="Times New Roman"/>
          <w:sz w:val="24"/>
          <w:sz-cs w:val="24"/>
        </w:rPr>
        <w:t xml:space="preserve">(g)</w:t>
        <w:tab/>
        <w:t xml:space="preserve">Data and information available to specific groups of Market Participants.</w:t>
      </w:r>
    </w:p>
    <w:p>
      <w:pPr>
        <w:ind w:left="2160" w:first-line="-720"/>
        <w:spacing w:after="240"/>
      </w:pPr>
      <w:r>
        <w:rPr>
          <w:rFonts w:ascii="Times New Roman" w:hAnsi="Times New Roman" w:cs="Times New Roman"/>
          <w:sz w:val="24"/>
          <w:sz-cs w:val="24"/>
        </w:rPr>
        <w:t xml:space="preserve">(i)</w:t>
        <w:tab/>
        <w:t xml:space="preserve">Market Participants with a nondisclosure agreement with ERCOT have designated sections on the MIS that allow access to the certified posting of group information.  </w:t>
      </w:r>
    </w:p>
    <w:p>
      <w:pPr>
        <w:ind w:left="2160" w:first-line="-720"/>
        <w:spacing w:after="240"/>
      </w:pPr>
      <w:r>
        <w:rPr>
          <w:rFonts w:ascii="Times New Roman" w:hAnsi="Times New Roman" w:cs="Times New Roman"/>
          <w:sz w:val="24"/>
          <w:sz-cs w:val="24"/>
        </w:rPr>
        <w:t xml:space="preserve">(ii)</w:t>
        <w:tab/>
        <w:t xml:space="preserve">Market Participants may access the artifacts posted for their respective groups on the MIS Secure Area.</w:t>
      </w:r>
    </w:p>
    <w:p>
      <w:pPr>
        <w:spacing w:before="120" w:after="240"/>
      </w:pPr>
      <w:r>
        <w:rPr>
          <w:rFonts w:ascii="Times New Roman" w:hAnsi="Times New Roman" w:cs="Times New Roman"/>
          <w:sz w:val="24"/>
          <w:sz-cs w:val="24"/>
          <w:b/>
          <w:i/>
        </w:rPr>
        <w:t xml:space="preserve">[PGRR116:  Insert paragraph (h) below upon system implementation of NPRR1240:]</w:t>
      </w:r>
    </w:p>
    <w:p>
      <w:pPr>
        <w:ind w:left="1440" w:first-line="-720"/>
        <w:spacing w:after="240"/>
      </w:pPr>
      <w:r>
        <w:rPr>
          <w:rFonts w:ascii="Times New Roman" w:hAnsi="Times New Roman" w:cs="Times New Roman"/>
          <w:sz w:val="24"/>
          <w:sz-cs w:val="24"/>
        </w:rPr>
        <w:t xml:space="preserve">(h)</w:t>
        <w:tab/>
        <w:t xml:space="preserve">Information on the ERCOT website pertaining to energy and demand shall include monthly reports with 15-minute interval data.</w:t>
      </w:r>
    </w:p>
    <w:p>
      <w:pPr>
        <w:ind w:left="720" w:first-line="-720"/>
        <w:spacing w:before="240" w:after="240"/>
      </w:pPr>
      <w:r>
        <w:rPr>
          <w:rFonts w:ascii="Times New Roman" w:hAnsi="Times New Roman" w:cs="Times New Roman"/>
          <w:sz w:val="24"/>
          <w:sz-cs w:val="24"/>
        </w:rPr>
        <w:t xml:space="preserve">(2)</w:t>
        <w:tab/>
        <w:t xml:space="preserve">The list below includes both data set and designated classification of the available planning data and information.  Where the information is classified as “Certified,” the appropriate Market Participant category or group is “(all TSPs)” to indicate all Transmission Service Providers (TSPs) or “(PDCWG members)” to indicate members of the Performance, Disturbance, Compliance Working Group (PDCWG). </w:t>
      </w:r>
    </w:p>
    <w:p>
      <w:pPr/>
      <w:r>
        <w:rPr>
          <w:rFonts w:ascii="Times New Roman" w:hAnsi="Times New Roman" w:cs="Times New Roman"/>
          <w:sz w:val="24"/>
          <w:sz-cs w:val="24"/>
          <w:b/>
          <w:color w:val="000000"/>
        </w:rPr>
        <w:t xml:space="preserve">Data Set</w:t>
      </w:r>
    </w:p>
    <w:p>
      <w:pPr>
        <w:ind w:first-line="60"/>
      </w:pPr>
      <w:r>
        <w:rPr>
          <w:rFonts w:ascii="Times New Roman" w:hAnsi="Times New Roman" w:cs="Times New Roman"/>
          <w:sz w:val="24"/>
          <w:sz-cs w:val="24"/>
          <w:b/>
          <w:color w:val="000000"/>
        </w:rPr>
        <w:t xml:space="preserve">Classification</w:t>
      </w:r>
    </w:p>
    <w:p>
      <w:pPr/>
      <w:r>
        <w:rPr>
          <w:rFonts w:ascii="Times New Roman" w:hAnsi="Times New Roman" w:cs="Times New Roman"/>
          <w:sz w:val="24"/>
          <w:sz-cs w:val="24"/>
          <w:color w:val="000000"/>
        </w:rPr>
        <w:t xml:space="preserve">Aggregated Wind Output</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color w:val="000000"/>
        </w:rPr>
        <w:t xml:space="preserve">Annual Planning Model Data Submittal Schedule</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Demand and Energy Monthly Reports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Dynamic Data Information</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Economic Studies of Transmission Projects for New Generation</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ERCOT Long-Term System Assessment (LTSA) (except for Protected Information) </w:t>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ERCOT LTSA</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ERCOT Steady State Planning Contingency Files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ERCOT System Operating Limit (SOL) Methodology</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color w:val="000000"/>
        </w:rPr>
        <w:t xml:space="preserve">Generation Data Forms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Generator Interconnection Status (GIS) Report</w:t>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Geomagnetically-Induced Current ( HYPERLINK "https://mis.ercot.com/secure/data-products/grid/regional-planning?id=PG3-953-M" </w:t>
      </w:r>
      <w:r>
        <w:rPr>
          <w:rFonts w:ascii="Times New Roman" w:hAnsi="Times New Roman" w:cs="Times New Roman"/>
          <w:sz w:val="24"/>
          <w:sz-cs w:val="24"/>
          <w:color w:val="000000"/>
        </w:rPr>
        <w:t xml:space="preserve">GIC) Flow Information</w:t>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Geomagnetic Disturbance (GMD) Vulnerability Assessment Postings (except for Protected Information) – includes ERCOT Critical Energy Infrastructure Information (ECEII)</w:t>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GMD Vulnerability Assessment Postings – includes ECEII and Protected Information</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GMD Vulnerability Assessment Postings (redacted) – excludes ECEII and Protected Information</w:t>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color w:val="000000"/>
        </w:rPr>
        <w:t xml:space="preserve">Documents Initiating a Generation Interconnection or Change Request (GINR)</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GINR Security Screening Studies and Supporting Documents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Sub-synchronous Oscillation Studies and Supporting Documents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Full Interconnection Study (FIS): Steady-State, System Protection, Stability, and Facility Studies and Supporting Documents (except for Protected Information)</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FIS: Draft Steady-State, System Protection, Stability, and Facility Studies and Supporting Documents</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Independent Market Monitor (IMM) and Topology Processor Supporting Documents</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Performance, Disturbance, Compliance Working Group (PDCWG) Group Documents and Project Files</w:t>
      </w:r>
      <w:r>
        <w:rPr>
          <w:rFonts w:ascii="Times" w:hAnsi="Times" w:cs="Times"/>
          <w:sz w:val="22"/>
          <w:sz-cs w:val="22"/>
          <w:color w:val="000000"/>
        </w:rPr>
        <w:t xml:space="preserve"/>
      </w:r>
    </w:p>
    <w:p>
      <w:pPr>
        <w:ind w:left="60"/>
      </w:pPr>
      <w:r>
        <w:rPr>
          <w:rFonts w:ascii="Times New Roman" w:hAnsi="Times New Roman" w:cs="Times New Roman"/>
          <w:sz w:val="24"/>
          <w:sz-cs w:val="24"/>
          <w:color w:val="000000"/>
        </w:rPr>
        <w:t xml:space="preserve">Certified (PDCWG members)</w:t>
      </w:r>
    </w:p>
    <w:p>
      <w:pPr/>
      <w:r>
        <w:rPr>
          <w:rFonts w:ascii="Times New Roman" w:hAnsi="Times New Roman" w:cs="Times New Roman"/>
          <w:sz w:val="24"/>
          <w:sz-cs w:val="24"/>
          <w:color w:val="000000"/>
        </w:rPr>
        <w:t xml:space="preserve">Public Generation Information</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color w:val="000000"/>
        </w:rPr>
        <w:t xml:space="preserve">Remedial Action Plan (RAP) Review Cases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Resource Registration Data</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Regional Planning Group Projects</w:t>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Regional Transmission Plan Postings (except for Protected Information) – includes ERCOT Critical Energy Infrastructure Information (ECEII)</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Regional Transmission Plan Postings – includes ECEII and Protected Information</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Regional Transmission Plan Postings (redacted) – excludes ECEII and Protected Information</w:t>
      </w:r>
    </w:p>
    <w:p>
      <w:pPr>
        <w:ind w:first-line="60"/>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color w:val="000000"/>
        </w:rPr>
        <w:t xml:space="preserve">Seasonal Voltage Profile Studies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Special Planning Studies (except for Protected Information)</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Special Planning Studies</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Steady State Power Flow Base Cases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Steady State Power Flow Case Data</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Steady State Topology Processor Files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Steady State Transmission Project and Information Tracking (TPIT) Procedures</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System Protection Short Circuit Data</w:t>
      </w:r>
      <w:r>
        <w:rPr>
          <w:rFonts w:ascii="Times" w:hAnsi="Times" w:cs="Times"/>
          <w:sz w:val="22"/>
          <w:sz-cs w:val="22"/>
          <w:color w:val="000000"/>
        </w:rPr>
        <w:t xml:space="preserve"/>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Transient Stability Screening Study for ERCOT System</w:t>
      </w:r>
    </w:p>
    <w:p>
      <w:pPr>
        <w:ind w:first-line="60"/>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color w:val="000000"/>
        </w:rPr>
        <w:t xml:space="preserve">TSP Planning Criteria and Procedures</w:t>
      </w:r>
    </w:p>
    <w:p>
      <w:pPr>
        <w:ind w:first-line="60"/>
      </w:pPr>
      <w:r>
        <w:rPr>
          <w:rFonts w:ascii="Times New Roman" w:hAnsi="Times New Roman" w:cs="Times New Roman"/>
          <w:sz w:val="24"/>
          <w:sz-cs w:val="24"/>
          <w:color w:val="000000"/>
        </w:rPr>
        <w:t xml:space="preserve">Secure</w:t>
      </w:r>
    </w:p>
    <w:p>
      <w:pPr/>
      <w:r>
        <w:rPr>
          <w:rFonts w:ascii="Times New Roman" w:hAnsi="Times New Roman" w:cs="Times New Roman"/>
          <w:sz w:val="24"/>
          <w:sz-cs w:val="24"/>
          <w:color w:val="000000"/>
        </w:rPr>
        <w:t xml:space="preserve">Voltage Stability Screening Study for ERCOT System</w:t>
      </w:r>
    </w:p>
    <w:p>
      <w:pPr>
        <w:ind w:first-line="60"/>
      </w:pPr>
      <w:r>
        <w:rPr>
          <w:rFonts w:ascii="Times New Roman" w:hAnsi="Times New Roman" w:cs="Times New Roman"/>
          <w:sz w:val="24"/>
          <w:sz-cs w:val="24"/>
          <w:color w:val="000000"/>
        </w:rPr>
        <w:t xml:space="preserve">Certified (all TSPs)</w:t>
      </w:r>
    </w:p>
    <w:p>
      <w:pPr>
        <w:spacing w:before="240"/>
      </w:pPr>
      <w:r>
        <w:rPr>
          <w:rFonts w:ascii="Times New Roman" w:hAnsi="Times New Roman" w:cs="Times New Roman"/>
          <w:sz w:val="24"/>
          <w:sz-cs w:val="24"/>
        </w:rPr>
        <w:t xml:space="preserve"/>
      </w:r>
    </w:p>
    <w:p>
      <w:pPr>
        <w:spacing w:before="120" w:after="240"/>
      </w:pPr>
      <w:r>
        <w:rPr>
          <w:rFonts w:ascii="Times New Roman" w:hAnsi="Times New Roman" w:cs="Times New Roman"/>
          <w:sz w:val="24"/>
          <w:sz-cs w:val="24"/>
          <w:b/>
          <w:i/>
        </w:rPr>
        <w:t xml:space="preserve">[PGRR116 and PGRR129:  Replace applicable portions of paragraph (2) above with the following upon system implementation of NPRR1240 or PGRR129, respectively:]</w:t>
      </w:r>
      <w:r>
        <w:rPr>
          <w:rFonts w:ascii="Times New Roman" w:hAnsi="Times New Roman" w:cs="Times New Roman"/>
          <w:sz w:val="24"/>
          <w:sz-cs w:val="24"/>
        </w:rPr>
        <w:t xml:space="preserve"/>
      </w:r>
    </w:p>
    <w:p>
      <w:pPr>
        <w:ind w:left="630"/>
        <w:spacing w:after="240"/>
      </w:pPr>
      <w:r>
        <w:rPr>
          <w:rFonts w:ascii="Times New Roman" w:hAnsi="Times New Roman" w:cs="Times New Roman"/>
          <w:sz w:val="24"/>
          <w:sz-cs w:val="24"/>
        </w:rPr>
        <w:t xml:space="preserve">(2)</w:t>
        <w:tab/>
        <w:t xml:space="preserve">The list below includes both data set and designated classification of the available planning data and information.  Where the information is classified as “Certified,” the appropriate Market Participant category or group is “(all TSPs)” to indicate all Transmission Service Providers (TSPs) or “(PDCWG members)” to indicate members of the Performance, Disturbance, Compliance Working Group (PDCWG).  “RIOO-RS” indicates information in Resource Integration and On-going Operations–Resource Services.  Information classified as “Public” is available on the ERCOT website.  The list below is intended to be only a general guide and not controlling language, and any conflict between this list and another section of the Planning Guide is controlled by the other section.                              </w:t>
      </w:r>
    </w:p>
    <w:p>
      <w:pPr/>
      <w:r>
        <w:rPr>
          <w:rFonts w:ascii="Times New Roman" w:hAnsi="Times New Roman" w:cs="Times New Roman"/>
          <w:sz w:val="24"/>
          <w:sz-cs w:val="24"/>
          <w:b/>
          <w:color w:val="000000"/>
        </w:rPr>
        <w:t xml:space="preserve">Data Set</w:t>
      </w:r>
    </w:p>
    <w:p>
      <w:pPr/>
      <w:r>
        <w:rPr>
          <w:rFonts w:ascii="Times New Roman" w:hAnsi="Times New Roman" w:cs="Times New Roman"/>
          <w:sz w:val="24"/>
          <w:sz-cs w:val="24"/>
          <w:b/>
          <w:color w:val="000000"/>
        </w:rPr>
        <w:t xml:space="preserve">Classification</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Aggregated Wind Output</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Annual Planning Model Data Submittal Schedule</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Demand and Energy Monthly Reports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Dynamic Data Information</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Economic Studies of Transmission Projects for New Generation</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ERCOT Long-Term System Assessment (LTSA) (except for Protected Information) – includes ERCOT Critical Energy Infrastructure Information (ECEII)</w:t>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ERCOT LTSA – includes ECEII and Protected Information</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ERCOT LTSA (redacted) – excludes ECEII and Protected Information</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ERCOT Steady State Planning Contingency Files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ERCOT System Operating Limit (SOL) Methodology</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Generator Interconnection Status (GIS) Report</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Geomagnetically-Induced Current (HYPERLINK "https://mis.ercot.com/secure/data-products/grid/regional-planning?id=PG3-953-M"</w:t>
      </w:r>
      <w:r>
        <w:rPr>
          <w:rFonts w:ascii="Times New Roman" w:hAnsi="Times New Roman" w:cs="Times New Roman"/>
          <w:sz w:val="24"/>
          <w:sz-cs w:val="24"/>
          <w:color w:val="000000"/>
        </w:rPr>
        <w:t xml:space="preserve">GIC) Flow Information</w:t>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Geomagnetic Disturbance (GMD) Vulnerability Assessment Postings (except for Protected Information) – includes ERCOT Critical Energy Infrastructure Information (ECEII)</w:t>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GMD Vulnerability Assessment Postings – includes ECEII and Protected Information</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GMD Vulnerability Assessment Postings (redacted) – excludes ECEII and Protected Information</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Grid Reliability and Resiliency Assessment (GRRA) Postings (except for Protected Information) – includes ERCOT Critical Energy Infrastructure Information (ECEII)</w:t>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GRRA Postings – includes ECEII and Protected Information</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GRRA Postings (redacted) – excludes ECEII and Protected Information</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Documents Initiating a Generation Interconnection or Change Request </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 (RIOO-RS)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Security Screening Studies and Supporting Documents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 (RIOO-RS)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Sub-synchronous Oscillation Studies and Supporting Documents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Full Interconnection Study (FIS): Steady-State, System Protection, Stability, and Facility Studies and Supporting Documents (except for Protected Information)</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FIS: Draft Steady-State, System Protection, Stability, and Facility Studies and Supporting Documents</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Independent Market Monitor (IMM) and Topology Processor Supporting Documents</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Performance, Disturbance, Compliance Working Group (PDCWG) Group Documents and Project Files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(PDCWG members)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Public Generation Information</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Remedial Action Plan (RAP) Review Cases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Resource Registration Data</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Regional Planning Group Projects</w:t>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Regional Transmission Plan Postings (except for Protected Information) – includes ERCOT Critical Energy Infrastructure Information (ECEII)</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Regional Transmission Plan Postings – includes ECEII and Protected Information</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Regional Transmission Plan Postings (redacted) – excludes ECEII and Protected Information</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Seasonal Voltage Profile Studies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Special Planning Studies (except for Protected Information)</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Special Planning Studies</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Steady State Power Flow Base Cases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Steady State Power Flow Case Data</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Steady State Topology Processor Files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Steady State Transmission Project and Information Tracking (TPIT) Procedures</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System Protection Short Circuit Data</w:t>
      </w:r>
      <w:r>
        <w:rPr>
          <w:rFonts w:ascii="Times" w:hAnsi="Times" w:cs="Times"/>
          <w:sz w:val="22"/>
          <w:sz-cs w:val="22"/>
          <w:color w:val="000000"/>
        </w:rPr>
        <w:t xml:space="preserve"/>
      </w:r>
    </w:p>
    <w:p>
      <w:pPr/>
      <w:r>
        <w:rPr>
          <w:rFonts w:ascii="Times New Roman" w:hAnsi="Times New Roman" w:cs="Times New Roman"/>
          <w:sz w:val="24"/>
          <w:sz-cs w:val="24"/>
          <w:color w:val="000000"/>
        </w:rPr>
        <w:t xml:space="preserve">Secure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Transient Stability Screening Study for ERCOT System</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TSP Planning Criteria and Procedures</w:t>
      </w:r>
    </w:p>
    <w:p>
      <w:pPr/>
      <w:r>
        <w:rPr>
          <w:rFonts w:ascii="Times New Roman" w:hAnsi="Times New Roman" w:cs="Times New Roman"/>
          <w:sz w:val="24"/>
          <w:sz-cs w:val="24"/>
          <w:color w:val="000000"/>
        </w:rPr>
        <w:t xml:space="preserve">ERCOT website</w:t>
      </w:r>
    </w:p>
    <w:p>
      <w:pPr/>
      <w:r>
        <w:rPr>
          <w:rFonts w:ascii="Times New Roman" w:hAnsi="Times New Roman" w:cs="Times New Roman"/>
          <w:sz w:val="24"/>
          <w:sz-cs w:val="24"/>
        </w:rPr>
        <w:t xml:space="preserve"/>
      </w:r>
    </w:p>
    <w:p>
      <w:pPr/>
      <w:r>
        <w:rPr>
          <w:rFonts w:ascii="Times New Roman" w:hAnsi="Times New Roman" w:cs="Times New Roman"/>
          <w:sz w:val="24"/>
          <w:sz-cs w:val="24"/>
          <w:color w:val="000000"/>
        </w:rPr>
        <w:t xml:space="preserve">Voltage Stability Screening Study for ERCOT System</w:t>
      </w:r>
    </w:p>
    <w:p>
      <w:pPr/>
      <w:r>
        <w:rPr>
          <w:rFonts w:ascii="Times New Roman" w:hAnsi="Times New Roman" w:cs="Times New Roman"/>
          <w:sz w:val="24"/>
          <w:sz-cs w:val="24"/>
          <w:color w:val="000000"/>
        </w:rPr>
        <w:t xml:space="preserve">Certified (all TSPs)</w:t>
      </w:r>
    </w:p>
    <w:p>
      <w:pPr/>
      <w:r>
        <w:rPr>
          <w:rFonts w:ascii="Times New Roman" w:hAnsi="Times New Roman" w:cs="Times New Roman"/>
          <w:sz w:val="24"/>
          <w:sz-cs w:val="24"/>
        </w:rPr>
        <w:t xml:space="preserve"/>
      </w:r>
    </w:p>
    <w:p>
      <w:pPr>
        <w:ind w:left="1440" w:first-line="-72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T</w:t>
      </w:r>
      <w:r>
        <w:rPr>
          <w:rFonts w:ascii="Times New Roman" w:hAnsi="Times New Roman" w:cs="Times New Roman"/>
          <w:sz w:val="16"/>
          <w:sz-cs w:val="16"/>
        </w:rPr>
        <w:t xml:space="preserve">ABLE</w:t>
      </w:r>
      <w:r>
        <w:rPr>
          <w:rFonts w:ascii="Times New Roman" w:hAnsi="Times New Roman" w:cs="Times New Roman"/>
          <w:sz w:val="20"/>
          <w:sz-cs w:val="20"/>
        </w:rPr>
        <w:t xml:space="preserve"> </w:t>
      </w:r>
      <w:r>
        <w:rPr>
          <w:rFonts w:ascii="Times New Roman" w:hAnsi="Times New Roman" w:cs="Times New Roman"/>
          <w:sz w:val="16"/>
          <w:sz-cs w:val="16"/>
        </w:rPr>
        <w:t xml:space="preserve">OF</w:t>
      </w:r>
      <w:r>
        <w:rPr>
          <w:rFonts w:ascii="Times New Roman" w:hAnsi="Times New Roman" w:cs="Times New Roman"/>
          <w:sz w:val="20"/>
          <w:sz-cs w:val="20"/>
        </w:rPr>
        <w:t xml:space="preserve"> C</w:t>
      </w:r>
      <w:r>
        <w:rPr>
          <w:rFonts w:ascii="Times New Roman" w:hAnsi="Times New Roman" w:cs="Times New Roman"/>
          <w:sz w:val="16"/>
          <w:sz-cs w:val="16"/>
        </w:rPr>
        <w:t xml:space="preserve">ONTENTS</w:t>
      </w:r>
      <w:r>
        <w:rPr>
          <w:rFonts w:ascii="Times New Roman" w:hAnsi="Times New Roman" w:cs="Times New Roman"/>
          <w:sz w:val="20"/>
          <w:sz-cs w:val="20"/>
        </w:rPr>
        <w:t xml:space="preserve">:  S</w:t>
      </w:r>
      <w:r>
        <w:rPr>
          <w:rFonts w:ascii="Times New Roman" w:hAnsi="Times New Roman" w:cs="Times New Roman"/>
          <w:sz w:val="16"/>
          <w:sz-cs w:val="16"/>
        </w:rPr>
        <w:t xml:space="preserve">ECTION</w:t>
      </w:r>
      <w:r>
        <w:rPr>
          <w:rFonts w:ascii="Times New Roman" w:hAnsi="Times New Roman" w:cs="Times New Roman"/>
          <w:sz w:val="20"/>
          <w:sz-cs w:val="20"/>
        </w:rPr>
        <w:t xml:space="preserve"> 7 </w:t>
      </w:r>
    </w:p>
    <w:p>
      <w:pPr/>
      <w:r>
        <w:rPr>
          <w:rFonts w:ascii="Arial" w:hAnsi="Arial" w:cs="Arial"/>
          <w:sz w:val="24"/>
          <w:sz-cs w:val="24"/>
          <w:b/>
        </w:rPr>
        <w:t xml:space="preserve"/>
      </w:r>
    </w:p>
    <w:p>
      <w:pPr/>
      <w:r>
        <w:rPr>
          <w:rFonts w:ascii="Times New Roman" w:hAnsi="Times New Roman" w:cs="Times New Roman"/>
          <w:sz w:val="24"/>
          <w:sz-cs w:val="24"/>
        </w:rPr>
        <w:t xml:space="preserve"/>
      </w:r>
    </w:p>
    <w:p>
      <w:pPr>
        <w:spacing w:before="120"/>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D</w:t>
      </w:r>
      <w:r>
        <w:rPr>
          <w:rFonts w:ascii="Times New Roman" w:hAnsi="Times New Roman" w:cs="Times New Roman"/>
          <w:sz w:val="16"/>
          <w:sz-cs w:val="16"/>
        </w:rPr>
        <w:t xml:space="preserve">ECEMBER</w:t>
      </w:r>
      <w:r>
        <w:rPr>
          <w:rFonts w:ascii="Times New Roman" w:hAnsi="Times New Roman" w:cs="Times New Roman"/>
          <w:sz w:val="20"/>
          <w:sz-cs w:val="20"/>
        </w:rPr>
        <w:t xml:space="preserve"> 1, 2025</w:t>
        <w:tab/>
        <w:t xml:space="preserve"/>
        <w:tab/>
        <w:t xml:space="preserve"/>
      </w:r>
    </w:p>
    <w:p>
      <w:pPr>
        <w:spacing w:after="120"/>
      </w:pPr>
      <w:r>
        <w:rPr>
          <w:rFonts w:ascii="Times New Roman" w:hAnsi="Times New Roman" w:cs="Times New Roman"/>
          <w:sz w:val="20"/>
          <w:sz-cs w:val="20"/>
          <w:b/>
        </w:rPr>
        <w:t xml:space="preserve"/>
        <w:tab/>
        <w:t xml:space="preserve"/>
        <w:tab/>
        <w:t xml:space="preserve"/>
      </w: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7:  M</w:t>
      </w:r>
      <w:r>
        <w:rPr>
          <w:rFonts w:ascii="Times New Roman" w:hAnsi="Times New Roman" w:cs="Times New Roman"/>
          <w:sz w:val="16"/>
          <w:sz-cs w:val="16"/>
        </w:rPr>
        <w:t xml:space="preserve">ARKET</w:t>
      </w:r>
      <w:r>
        <w:rPr>
          <w:rFonts w:ascii="Times New Roman" w:hAnsi="Times New Roman" w:cs="Times New Roman"/>
          <w:sz w:val="20"/>
          <w:sz-cs w:val="20"/>
        </w:rPr>
        <w:t xml:space="preserve"> D</w:t>
      </w:r>
      <w:r>
        <w:rPr>
          <w:rFonts w:ascii="Times New Roman" w:hAnsi="Times New Roman" w:cs="Times New Roman"/>
          <w:sz w:val="16"/>
          <w:sz-cs w:val="16"/>
        </w:rPr>
        <w:t xml:space="preserve">ATA</w:t>
      </w:r>
      <w:r>
        <w:rPr>
          <w:rFonts w:ascii="Times New Roman" w:hAnsi="Times New Roman" w:cs="Times New Roman"/>
          <w:sz w:val="20"/>
          <w:sz-cs w:val="20"/>
        </w:rPr>
        <w:t xml:space="preserve"> T</w:t>
      </w:r>
      <w:r>
        <w:rPr>
          <w:rFonts w:ascii="Times New Roman" w:hAnsi="Times New Roman" w:cs="Times New Roman"/>
          <w:sz w:val="16"/>
          <w:sz-cs w:val="16"/>
        </w:rPr>
        <w:t xml:space="preserve">RANSPARENCY</w:t>
      </w:r>
      <w:r>
        <w:rPr>
          <w:rFonts w:ascii="Times New Roman" w:hAnsi="Times New Roman" w:cs="Times New Roman"/>
          <w:sz w:val="20"/>
          <w:sz-cs w:val="20"/>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spacing w:before="120"/>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D</w:t>
      </w:r>
      <w:r>
        <w:rPr>
          <w:rFonts w:ascii="Times New Roman" w:hAnsi="Times New Roman" w:cs="Times New Roman"/>
          <w:sz w:val="16"/>
          <w:sz-cs w:val="16"/>
        </w:rPr>
        <w:t xml:space="preserve">ECEMBER</w:t>
      </w:r>
      <w:r>
        <w:rPr>
          <w:rFonts w:ascii="Times New Roman" w:hAnsi="Times New Roman" w:cs="Times New Roman"/>
          <w:sz w:val="20"/>
          <w:sz-cs w:val="20"/>
        </w:rPr>
        <w:t xml:space="preserve"> 1, 2025</w:t>
        <w:tab/>
        <w:t xml:space="preserve"/>
        <w:tab/>
        <w:t xml:space="preserve">7</w:t>
      </w:r>
      <w:r>
        <w:rPr>
          <w:rFonts w:ascii="Times New Roman" w:hAnsi="Times New Roman" w:cs="Times New Roman"/>
          <w:sz w:val="18"/>
          <w:sz-cs w:val="18"/>
        </w:rPr>
        <w:t xml:space="preserve">- PAGE 1</w:t>
      </w:r>
      <w:r>
        <w:rPr>
          <w:rFonts w:ascii="Times New Roman" w:hAnsi="Times New Roman" w:cs="Times New Roman"/>
          <w:sz w:val="20"/>
          <w:sz-cs w:val="20"/>
        </w:rPr>
        <w:t xml:space="preserve"/>
      </w:r>
    </w:p>
    <w:p>
      <w:pPr>
        <w:jc w:val="center"/>
        <w:spacing w:after="120"/>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jc w:val="center"/>
        <w:spacing w:after="12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Jordan Troublefield</cp:lastModifiedBy>
  <dcterms:created>2025-09-25T09:50:00Z</dcterms:created>
  <dcterms:modified>2025-09-25T09:50:00Z</dcterms:modified>
</cp:coreProperties>
</file>

<file path=docProps/meta.xml><?xml version="1.0" encoding="utf-8"?>
<meta xmlns="http://schemas.apple.com/cocoa/2006/metadata">
  <generator>CocoaOOXMLWriter/2685.6</generator>
</meta>
</file>