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3B57"/>
          <w:sz w:val="40"/>
          <w:szCs w:val="40"/>
        </w:rPr>
        <w:t xml:space="preserve">AI Document Verification Pipeline</w:t>
      </w:r>
    </w:p>
    <w:p>
      <w:pPr>
        <w:spacing w:after="400"/>
        <w:jc w:val="center"/>
      </w:pPr>
      <w:r>
        <w:rPr>
          <w:i/>
          <w:iCs/>
          <w:color w:val="5A5A5A"/>
          <w:sz w:val="24"/>
          <w:szCs w:val="24"/>
        </w:rPr>
        <w:t xml:space="preserve">Multi-document OCR, cross-verification, and stamp/seal detection system</w:t>
      </w:r>
    </w:p>
    <w:p>
      <w:pPr>
        <w:pStyle w:val="Heading1"/>
        <w:spacing w:after="150" w:before="300"/>
      </w:pPr>
      <w:r>
        <w:t xml:space="preserve">1. What This System Does</w:t>
      </w:r>
    </w:p>
    <w:p>
      <w:pPr>
        <w:spacing w:after="160"/>
      </w:pPr>
      <w:r>
        <w:t xml:space="preserve">This system takes multiple related documents for a single case (for example: a CNIC copy, a stamp paper, an agreement, and an affidavit) and automatically checks whether they are consistent and genuine. Instead of a person manually comparing names, CNIC numbers, dates, and amounts across every document, the pipeline extracts these fields from each document and cross-checks them, flags mismatches, and confirms whether the required stamp paper and signatures are present.</w:t>
      </w:r>
    </w:p>
    <w:p>
      <w:pPr>
        <w:spacing w:after="160"/>
      </w:pPr>
      <w:r>
        <w:t xml:space="preserve">The output is a verification report that says, per document and per field, whether everything matches — with a final PASS/FAIL and confidence score.</w:t>
      </w:r>
    </w:p>
    <w:p>
      <w:pPr>
        <w:pStyle w:val="Heading1"/>
        <w:spacing w:after="150" w:before="300"/>
      </w:pPr>
      <w:r>
        <w:t xml:space="preserve">2. End-to-End Pipeline</w:t>
      </w:r>
    </w:p>
    <w:p>
      <w:pPr>
        <w:spacing w:after="160"/>
      </w:pPr>
      <w:r>
        <w:t xml:space="preserve">The diagram below shows the full flow, from the moment a document is uploaded to the final verification report.</w:t>
      </w:r>
    </w:p>
    <w:p>
      <w:pPr>
        <w:spacing w:after="200" w:before="100"/>
        <w:jc w:val="center"/>
      </w:pPr>
      <w:r>
        <w:drawing>
          <wp:inline distT="0" distB="0" distL="0" distR="0">
            <wp:extent cx="5120640" cy="731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1: Full document verification pipeline</w:t>
      </w:r>
    </w:p>
    <w:p>
      <w:pPr>
        <w:pStyle w:val="Heading2"/>
        <w:spacing w:after="120" w:before="240"/>
      </w:pPr>
      <w:r>
        <w:t xml:space="preserve">Stage-by-stage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 Preprocessing — checks whether each page already has selectable text or is a scanned image, since that decides whether OCR is even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Image Enhancement — cleans up scanned pages (straightens tilted scans, removes noise, sharpens faint print) so OCR has the best possible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OCR + Layout Analysis — reads all text and understands the page structure (paragraphs, tables, stamps) in one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Key Field Extraction — pulls out only the fields that matter for verification (name, CNIC, dates, amount, stamp number, etc.) into a structured JSON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Cross-Document Matching — compares the same field across all documents in the case using exact rule-based matching, not guesswork.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Stamp / Seal Detection — confirms whether a government seal or revenue stamp is present and reads the stamp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Signature Check — detects whether a signature is present and whether it looks consistent across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Reasoning Layer — only steps in for the judgment calls: explaining a mismatch in plain language, or flagging something ambiguous for human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Verification Report — the final structured output, ready to show to a reviewer or store for audit.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Cross-Document Field Matching</w:t>
      </w:r>
    </w:p>
    <w:p>
      <w:pPr>
        <w:spacing w:after="160"/>
      </w:pPr>
      <w:r>
        <w:t xml:space="preserve">This is the core logic of the system: the same real-world fact (e.g. a person's name or CNIC number) should appear identically across every document in a case. The matching itself is done with simple, deterministic rules (exact string/number comparison) — not an AI model — because deterministic checks are far more reliable for something like a CNIC number than asking a language model to "eyeball" whether two strings match.</w:t>
      </w:r>
    </w:p>
    <w:p>
      <w:pPr>
        <w:spacing w:after="200" w:before="100"/>
        <w:jc w:val="center"/>
      </w:pPr>
      <w:r>
        <w:drawing>
          <wp:inline distT="0" distB="0" distL="0" distR="0">
            <wp:extent cx="5486400" cy="40233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2: Example of field-level matching across four documents</w:t>
      </w:r>
    </w:p>
    <w:p>
      <w:pPr>
        <w:spacing w:after="160"/>
      </w:pPr>
      <w:r>
        <w:t xml:space="preserve">Only once a mismatch or ambiguity is found does the pipeline call the LLM reasoning layer — to explain the mismatch in plain language and decide whether it's a genuine problem or a minor formatting difference (e.g. "Muhammad Ali" vs "Md. Ali").</w:t>
      </w:r>
    </w:p>
    <w:p>
      <w:pPr>
        <w:pStyle w:val="Heading1"/>
        <w:spacing w:after="150" w:before="300"/>
      </w:pPr>
      <w:r>
        <w:t xml:space="preserve">4. System Architecture</w:t>
      </w:r>
    </w:p>
    <w:p>
      <w:pPr>
        <w:spacing w:after="160"/>
      </w:pPr>
      <w:r>
        <w:t xml:space="preserve">How the pieces fit together as a deployable system:</w:t>
      </w:r>
    </w:p>
    <w:p>
      <w:pPr>
        <w:spacing w:after="200" w:before="100"/>
        <w:jc w:val="center"/>
      </w:pPr>
      <w:r>
        <w:drawing>
          <wp:inline distT="0" distB="0" distL="0" distR="0">
            <wp:extent cx="54864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Figure 3: System architecture and technology stack</w:t>
      </w:r>
    </w:p>
    <w:p>
      <w:pPr>
        <w:pStyle w:val="Heading1"/>
        <w:spacing w:after="150" w:before="300"/>
      </w:pPr>
      <w:r>
        <w:t xml:space="preserve">5. Model Choices — and Why</w:t>
      </w:r>
    </w:p>
    <w:p>
      <w:pPr>
        <w:spacing w:after="160"/>
      </w:pPr>
      <w:r>
        <w:t xml:space="preserve">These recommendations are based on current (July 2026) open-source OCR benchmarks, not just brand recognition. All models below are free and self-hostable.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Recommended Model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OCR + Layout</w:t>
            </w:r>
          </w:p>
        </w:tc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PaddleOCR-VL 1.6</w:t>
            </w:r>
          </w:p>
        </w:tc>
        <w:tc>
          <w:tcPr>
            <w:tcW w:type="dxa" w:w="42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0.9B params, 96.33% on OmniDocBench v1.6, built-in seal/stamp recognition, supports Urdu + English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Backup OCR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MinerU2.5-Pro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Near-identical accuracy to PaddleOCR-VL, strong on tables and dense text</w:t>
            </w:r>
          </w:p>
        </w:tc>
      </w:tr>
      <w:tr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Reasoning / explanation</w:t>
            </w:r>
          </w:p>
        </w:tc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Qwen2.5-VL (7B or 32B)</w:t>
            </w:r>
          </w:p>
        </w:tc>
        <w:tc>
          <w:tcPr>
            <w:tcW w:type="dxa" w:w="42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Apache 2.0 licensed at these sizes; explains mismatches, drafts the verification summary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Signature detection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YOLOv11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Fast, well-supported object detector for presence/consistency checks</w:t>
            </w:r>
          </w:p>
        </w:tc>
      </w:tr>
      <w:tr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reading</w:t>
            </w:r>
          </w:p>
        </w:tc>
        <w:tc>
          <w:tcPr>
            <w:tcW w:type="dxa" w:w="26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PyMuPDF</w:t>
            </w:r>
          </w:p>
        </w:tc>
        <w:tc>
          <w:tcPr>
            <w:tcW w:type="dxa" w:w="4200"/>
            <w:shd w:fill="EA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Detects text-layer vs scanned pages before deciding whether OCR is needed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 cleanup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OpenCV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Deskew, denoise, contrast enhancement before OCR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Note: benchmark leaderboards in this space move fast and some published scores are vendor-reported rather than independently verified. Before relying on any single number, it's worth running a small in-house test (20–30 real documents) to confirm PaddleOCR-VL performs well on your actual stamp papers and CNIC scans.</w:t>
      </w:r>
    </w:p>
    <w:p>
      <w:pPr>
        <w:pStyle w:val="Heading1"/>
        <w:spacing w:after="150" w:before="300"/>
      </w:pPr>
      <w:r>
        <w:t xml:space="preserve">6. What to Build First (Suggested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PDF/image ingestion + PaddleOCR-VL extraction on a handful of sample documents — confirm OCR quality on real stamp papers and CNICs before anything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Structured field extraction into JSON — define the exact field schema (name, CNIC, date, amount, stamp no.,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Deterministic cross-document matching — the rule-based comparison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Stamp/seal presence detection — using PaddleOCR-VL's built-in seal recognition.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LLM reasoning layer — only after the above works reliably, add Qwen2.5-VL to explain mismatches.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Signature detection and pixel-level forgery detection — treat as a later phase; these are the least mature parts of the open-source stack and shouldn't block the first working version.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44374c6977321c6cb599e6b232e6abfeef179b.png"/><Relationship Id="rId8" Type="http://schemas.openxmlformats.org/officeDocument/2006/relationships/image" Target="media/f706f76b9461c2bd8176601e09506905699c591a.png"/><Relationship Id="rId9" Type="http://schemas.openxmlformats.org/officeDocument/2006/relationships/image" Target="media/10d24485c34bdf1f42a8f9f48c5ea0c5919c35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2026-07-31T10:25:56.339Z</dcterms:created>
  <dcterms:modified xsi:type="dcterms:W3CDTF">2026-07-31T10:25:56.356Z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