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54A9" w14:textId="6BC6E547" w:rsidR="00E473C5" w:rsidRPr="004174D0" w:rsidRDefault="00D34321" w:rsidP="00D34321">
      <w:pPr>
        <w:jc w:val="center"/>
        <w:rPr>
          <w:b/>
          <w:bCs/>
          <w:color w:val="156082" w:themeColor="accent1"/>
          <w:sz w:val="32"/>
          <w:szCs w:val="32"/>
        </w:rPr>
      </w:pPr>
      <w:r w:rsidRPr="004174D0">
        <w:rPr>
          <w:b/>
          <w:bCs/>
          <w:color w:val="156082" w:themeColor="accent1"/>
          <w:sz w:val="32"/>
          <w:szCs w:val="32"/>
        </w:rPr>
        <w:t>PLR Task Week 4 - Analysis in Microsoft excel</w:t>
      </w:r>
    </w:p>
    <w:p w14:paraId="46CFA0F4" w14:textId="77777777" w:rsidR="00D34321" w:rsidRPr="004174D0" w:rsidRDefault="00D34321" w:rsidP="00D34321">
      <w:pPr>
        <w:jc w:val="center"/>
        <w:rPr>
          <w:color w:val="000000" w:themeColor="text1"/>
          <w:sz w:val="32"/>
          <w:szCs w:val="32"/>
        </w:rPr>
      </w:pPr>
    </w:p>
    <w:p w14:paraId="6FA94A33" w14:textId="5E6576AD" w:rsidR="005677A2" w:rsidRPr="004174D0" w:rsidRDefault="005677A2" w:rsidP="005677A2">
      <w:pPr>
        <w:rPr>
          <w:b/>
          <w:bCs/>
          <w:color w:val="000000" w:themeColor="text1"/>
        </w:rPr>
      </w:pPr>
      <w:r w:rsidRPr="004174D0">
        <w:rPr>
          <w:b/>
          <w:bCs/>
          <w:color w:val="000000" w:themeColor="text1"/>
        </w:rPr>
        <w:t xml:space="preserve">1. Variable Types </w:t>
      </w:r>
    </w:p>
    <w:p w14:paraId="4C9078A5" w14:textId="129FA14C" w:rsidR="005677A2" w:rsidRPr="004174D0" w:rsidRDefault="005677A2" w:rsidP="005677A2">
      <w:pPr>
        <w:numPr>
          <w:ilvl w:val="0"/>
          <w:numId w:val="1"/>
        </w:numPr>
        <w:rPr>
          <w:color w:val="000000" w:themeColor="text1"/>
        </w:rPr>
      </w:pPr>
      <w:proofErr w:type="spellStart"/>
      <w:r w:rsidRPr="004174D0">
        <w:rPr>
          <w:color w:val="000000" w:themeColor="text1"/>
        </w:rPr>
        <w:t>preg</w:t>
      </w:r>
      <w:proofErr w:type="spellEnd"/>
      <w:r w:rsidRPr="004174D0">
        <w:rPr>
          <w:color w:val="000000" w:themeColor="text1"/>
        </w:rPr>
        <w:t xml:space="preserve"> (Number of times pregnant): </w:t>
      </w:r>
      <w:r w:rsidRPr="004174D0">
        <w:rPr>
          <w:i/>
          <w:iCs/>
          <w:color w:val="000000" w:themeColor="text1"/>
        </w:rPr>
        <w:t>Discrete, independent variable</w:t>
      </w:r>
      <w:r w:rsidR="009A6306" w:rsidRPr="004174D0">
        <w:rPr>
          <w:color w:val="000000" w:themeColor="text1"/>
        </w:rPr>
        <w:t xml:space="preserve"> =&gt;</w:t>
      </w:r>
      <w:r w:rsidRPr="004174D0">
        <w:rPr>
          <w:color w:val="000000" w:themeColor="text1"/>
        </w:rPr>
        <w:t xml:space="preserve"> it represents a count of pregnancies, which can only take whole numbers.</w:t>
      </w:r>
    </w:p>
    <w:p w14:paraId="5D711DFE" w14:textId="6CECE95F" w:rsidR="005677A2" w:rsidRPr="004174D0" w:rsidRDefault="005677A2" w:rsidP="005677A2">
      <w:pPr>
        <w:numPr>
          <w:ilvl w:val="0"/>
          <w:numId w:val="1"/>
        </w:numPr>
        <w:rPr>
          <w:color w:val="000000" w:themeColor="text1"/>
        </w:rPr>
      </w:pPr>
      <w:proofErr w:type="spellStart"/>
      <w:r w:rsidRPr="004174D0">
        <w:rPr>
          <w:color w:val="000000" w:themeColor="text1"/>
        </w:rPr>
        <w:t>plas</w:t>
      </w:r>
      <w:proofErr w:type="spellEnd"/>
      <w:r w:rsidRPr="004174D0">
        <w:rPr>
          <w:color w:val="000000" w:themeColor="text1"/>
        </w:rPr>
        <w:t xml:space="preserve"> (Plasma glucose concentration): </w:t>
      </w:r>
      <w:r w:rsidRPr="004174D0">
        <w:rPr>
          <w:i/>
          <w:iCs/>
          <w:color w:val="000000" w:themeColor="text1"/>
        </w:rPr>
        <w:t>Continuous,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measured in concentration units and can take any decimal value.</w:t>
      </w:r>
    </w:p>
    <w:p w14:paraId="5798811F" w14:textId="27F809C9" w:rsidR="005677A2" w:rsidRPr="004174D0" w:rsidRDefault="005677A2" w:rsidP="005677A2">
      <w:pPr>
        <w:numPr>
          <w:ilvl w:val="0"/>
          <w:numId w:val="1"/>
        </w:numPr>
        <w:rPr>
          <w:color w:val="000000" w:themeColor="text1"/>
        </w:rPr>
      </w:pPr>
      <w:proofErr w:type="spellStart"/>
      <w:r w:rsidRPr="004174D0">
        <w:rPr>
          <w:color w:val="000000" w:themeColor="text1"/>
        </w:rPr>
        <w:t>pres</w:t>
      </w:r>
      <w:proofErr w:type="spellEnd"/>
      <w:r w:rsidRPr="004174D0">
        <w:rPr>
          <w:color w:val="000000" w:themeColor="text1"/>
        </w:rPr>
        <w:t xml:space="preserve"> (Diastolic blood pressure): </w:t>
      </w:r>
      <w:r w:rsidRPr="004174D0">
        <w:rPr>
          <w:i/>
          <w:iCs/>
          <w:color w:val="000000" w:themeColor="text1"/>
        </w:rPr>
        <w:t>Continuous,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measured on a scale (mm Hg) and can vary continuously within a range.</w:t>
      </w:r>
    </w:p>
    <w:p w14:paraId="109E7907" w14:textId="0F129439" w:rsidR="005677A2" w:rsidRPr="004174D0" w:rsidRDefault="005677A2" w:rsidP="005677A2">
      <w:pPr>
        <w:numPr>
          <w:ilvl w:val="0"/>
          <w:numId w:val="1"/>
        </w:numPr>
        <w:rPr>
          <w:color w:val="000000" w:themeColor="text1"/>
        </w:rPr>
      </w:pPr>
      <w:r w:rsidRPr="004174D0">
        <w:rPr>
          <w:color w:val="000000" w:themeColor="text1"/>
        </w:rPr>
        <w:t xml:space="preserve">skin (Triceps skin fold thickness): </w:t>
      </w:r>
      <w:r w:rsidRPr="004174D0">
        <w:rPr>
          <w:i/>
          <w:iCs/>
          <w:color w:val="000000" w:themeColor="text1"/>
        </w:rPr>
        <w:t>Continuous,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a body measurement in </w:t>
      </w:r>
      <w:proofErr w:type="spellStart"/>
      <w:r w:rsidRPr="004174D0">
        <w:rPr>
          <w:color w:val="000000" w:themeColor="text1"/>
        </w:rPr>
        <w:t>millimetres</w:t>
      </w:r>
      <w:proofErr w:type="spellEnd"/>
      <w:r w:rsidRPr="004174D0">
        <w:rPr>
          <w:color w:val="000000" w:themeColor="text1"/>
        </w:rPr>
        <w:t>, continuous in nature.</w:t>
      </w:r>
    </w:p>
    <w:p w14:paraId="2A95B133" w14:textId="11669BEC" w:rsidR="005677A2" w:rsidRPr="004174D0" w:rsidRDefault="005677A2" w:rsidP="005677A2">
      <w:pPr>
        <w:numPr>
          <w:ilvl w:val="0"/>
          <w:numId w:val="1"/>
        </w:numPr>
        <w:rPr>
          <w:color w:val="000000" w:themeColor="text1"/>
        </w:rPr>
      </w:pPr>
      <w:r w:rsidRPr="004174D0">
        <w:rPr>
          <w:color w:val="000000" w:themeColor="text1"/>
        </w:rPr>
        <w:t xml:space="preserve">test (2-hour serum insulin): </w:t>
      </w:r>
      <w:r w:rsidRPr="004174D0">
        <w:rPr>
          <w:i/>
          <w:iCs/>
          <w:color w:val="000000" w:themeColor="text1"/>
        </w:rPr>
        <w:t>Continuous,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measured in micro-units per </w:t>
      </w:r>
      <w:proofErr w:type="spellStart"/>
      <w:r w:rsidRPr="004174D0">
        <w:rPr>
          <w:color w:val="000000" w:themeColor="text1"/>
        </w:rPr>
        <w:t>millilitre</w:t>
      </w:r>
      <w:proofErr w:type="spellEnd"/>
      <w:r w:rsidRPr="004174D0">
        <w:rPr>
          <w:color w:val="000000" w:themeColor="text1"/>
        </w:rPr>
        <w:t>, so it’s a continuous variable.</w:t>
      </w:r>
    </w:p>
    <w:p w14:paraId="4BBBB915" w14:textId="2EB37669" w:rsidR="005677A2" w:rsidRPr="004174D0" w:rsidRDefault="005677A2" w:rsidP="005677A2">
      <w:pPr>
        <w:numPr>
          <w:ilvl w:val="0"/>
          <w:numId w:val="1"/>
        </w:numPr>
        <w:rPr>
          <w:color w:val="000000" w:themeColor="text1"/>
        </w:rPr>
      </w:pPr>
      <w:r w:rsidRPr="004174D0">
        <w:rPr>
          <w:color w:val="000000" w:themeColor="text1"/>
        </w:rPr>
        <w:t xml:space="preserve">mass (Body Mass Index): </w:t>
      </w:r>
      <w:r w:rsidRPr="004174D0">
        <w:rPr>
          <w:i/>
          <w:iCs/>
          <w:color w:val="000000" w:themeColor="text1"/>
        </w:rPr>
        <w:t>Continuous,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a ratio (kg/m²) that can take any decimal value, not just integers.</w:t>
      </w:r>
    </w:p>
    <w:p w14:paraId="7BB8465F" w14:textId="61B90A42" w:rsidR="005677A2" w:rsidRPr="004174D0" w:rsidRDefault="005677A2" w:rsidP="005677A2">
      <w:pPr>
        <w:numPr>
          <w:ilvl w:val="0"/>
          <w:numId w:val="1"/>
        </w:numPr>
        <w:rPr>
          <w:color w:val="000000" w:themeColor="text1"/>
        </w:rPr>
      </w:pPr>
      <w:proofErr w:type="spellStart"/>
      <w:r w:rsidRPr="004174D0">
        <w:rPr>
          <w:color w:val="000000" w:themeColor="text1"/>
        </w:rPr>
        <w:t>pedi</w:t>
      </w:r>
      <w:proofErr w:type="spellEnd"/>
      <w:r w:rsidRPr="004174D0">
        <w:rPr>
          <w:color w:val="000000" w:themeColor="text1"/>
        </w:rPr>
        <w:t xml:space="preserve"> (Diabetes pedigree function): </w:t>
      </w:r>
      <w:r w:rsidRPr="004174D0">
        <w:rPr>
          <w:i/>
          <w:iCs/>
          <w:color w:val="000000" w:themeColor="text1"/>
        </w:rPr>
        <w:t>Continuous,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a calculated index, can have decimal values between 0 and around 2.</w:t>
      </w:r>
    </w:p>
    <w:p w14:paraId="6770B25B" w14:textId="207AD757" w:rsidR="005677A2" w:rsidRPr="004174D0" w:rsidRDefault="005677A2" w:rsidP="005677A2">
      <w:pPr>
        <w:numPr>
          <w:ilvl w:val="0"/>
          <w:numId w:val="1"/>
        </w:numPr>
        <w:rPr>
          <w:color w:val="000000" w:themeColor="text1"/>
        </w:rPr>
      </w:pPr>
      <w:r w:rsidRPr="004174D0">
        <w:rPr>
          <w:color w:val="000000" w:themeColor="text1"/>
        </w:rPr>
        <w:t xml:space="preserve">age (Years): </w:t>
      </w:r>
      <w:r w:rsidRPr="004174D0">
        <w:rPr>
          <w:i/>
          <w:iCs/>
          <w:color w:val="000000" w:themeColor="text1"/>
        </w:rPr>
        <w:t>Discrete, independent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recorded in whole years, though it represents an ordered numerical variable.</w:t>
      </w:r>
    </w:p>
    <w:p w14:paraId="69773309" w14:textId="61715A9B" w:rsidR="005677A2" w:rsidRPr="004174D0" w:rsidRDefault="005677A2" w:rsidP="005677A2">
      <w:pPr>
        <w:numPr>
          <w:ilvl w:val="0"/>
          <w:numId w:val="1"/>
        </w:numPr>
        <w:rPr>
          <w:color w:val="000000" w:themeColor="text1"/>
        </w:rPr>
      </w:pPr>
      <w:r w:rsidRPr="004174D0">
        <w:rPr>
          <w:color w:val="000000" w:themeColor="text1"/>
        </w:rPr>
        <w:t xml:space="preserve">class (0 or 1 – diabetes result): </w:t>
      </w:r>
      <w:r w:rsidRPr="004174D0">
        <w:rPr>
          <w:i/>
          <w:iCs/>
          <w:color w:val="000000" w:themeColor="text1"/>
        </w:rPr>
        <w:t>Categorical, dependent variable</w:t>
      </w:r>
      <w:r w:rsidRPr="004174D0">
        <w:rPr>
          <w:color w:val="000000" w:themeColor="text1"/>
        </w:rPr>
        <w:t xml:space="preserve"> </w:t>
      </w:r>
      <w:r w:rsidR="00A5207D" w:rsidRPr="004174D0">
        <w:rPr>
          <w:color w:val="000000" w:themeColor="text1"/>
        </w:rPr>
        <w:t>=&gt;</w:t>
      </w:r>
      <w:r w:rsidRPr="004174D0">
        <w:rPr>
          <w:color w:val="000000" w:themeColor="text1"/>
        </w:rPr>
        <w:t xml:space="preserve"> represents the outcome (presence or absence of diabetes), depending on the other factors.</w:t>
      </w:r>
    </w:p>
    <w:p w14:paraId="506800AA" w14:textId="77777777" w:rsidR="00656348" w:rsidRPr="004174D0" w:rsidRDefault="00656348" w:rsidP="00D34321">
      <w:pPr>
        <w:rPr>
          <w:color w:val="156082" w:themeColor="accent1"/>
        </w:rPr>
      </w:pPr>
    </w:p>
    <w:p w14:paraId="1088B796" w14:textId="77777777" w:rsidR="00656348" w:rsidRPr="004174D0" w:rsidRDefault="00656348" w:rsidP="00D34321">
      <w:pPr>
        <w:rPr>
          <w:color w:val="156082" w:themeColor="accent1"/>
        </w:rPr>
      </w:pPr>
    </w:p>
    <w:p w14:paraId="254D6A6B" w14:textId="77777777" w:rsidR="00656348" w:rsidRPr="004174D0" w:rsidRDefault="00656348" w:rsidP="00D34321">
      <w:pPr>
        <w:rPr>
          <w:color w:val="156082" w:themeColor="accent1"/>
        </w:rPr>
      </w:pPr>
    </w:p>
    <w:p w14:paraId="44DAB030" w14:textId="77777777" w:rsidR="00656348" w:rsidRPr="004174D0" w:rsidRDefault="00656348" w:rsidP="00D34321">
      <w:pPr>
        <w:rPr>
          <w:color w:val="156082" w:themeColor="accent1"/>
        </w:rPr>
      </w:pPr>
    </w:p>
    <w:p w14:paraId="3C94BC43" w14:textId="77777777" w:rsidR="00656348" w:rsidRPr="004174D0" w:rsidRDefault="00656348" w:rsidP="00D34321">
      <w:pPr>
        <w:rPr>
          <w:color w:val="156082" w:themeColor="accent1"/>
        </w:rPr>
      </w:pPr>
    </w:p>
    <w:p w14:paraId="7A65F6AD" w14:textId="77777777" w:rsidR="00656348" w:rsidRPr="004174D0" w:rsidRDefault="00656348" w:rsidP="00D34321">
      <w:pPr>
        <w:rPr>
          <w:color w:val="156082" w:themeColor="accent1"/>
        </w:rPr>
      </w:pPr>
    </w:p>
    <w:p w14:paraId="274FA307" w14:textId="77777777" w:rsidR="00656348" w:rsidRPr="004174D0" w:rsidRDefault="00656348" w:rsidP="00D34321">
      <w:pPr>
        <w:rPr>
          <w:color w:val="156082" w:themeColor="accent1"/>
        </w:rPr>
      </w:pPr>
    </w:p>
    <w:p w14:paraId="253CC768" w14:textId="34B538C5" w:rsidR="00D34321" w:rsidRPr="004174D0" w:rsidRDefault="008138CB" w:rsidP="00D34321">
      <w:pPr>
        <w:rPr>
          <w:b/>
          <w:bCs/>
          <w:color w:val="000000" w:themeColor="text1"/>
        </w:rPr>
      </w:pPr>
      <w:r w:rsidRPr="004174D0">
        <w:rPr>
          <w:b/>
          <w:bCs/>
          <w:color w:val="000000" w:themeColor="text1"/>
        </w:rPr>
        <w:lastRenderedPageBreak/>
        <w:t>2</w:t>
      </w:r>
      <w:r w:rsidR="001D449F" w:rsidRPr="004174D0">
        <w:rPr>
          <w:b/>
          <w:bCs/>
          <w:color w:val="000000" w:themeColor="text1"/>
        </w:rPr>
        <w:t xml:space="preserve">. Exploration in </w:t>
      </w:r>
      <w:r w:rsidR="00656348" w:rsidRPr="004174D0">
        <w:rPr>
          <w:b/>
          <w:bCs/>
          <w:color w:val="000000" w:themeColor="text1"/>
        </w:rPr>
        <w:t xml:space="preserve">the </w:t>
      </w:r>
      <w:r w:rsidR="001D449F" w:rsidRPr="004174D0">
        <w:rPr>
          <w:b/>
          <w:bCs/>
          <w:color w:val="000000" w:themeColor="text1"/>
        </w:rPr>
        <w:t>data</w:t>
      </w:r>
      <w:r w:rsidR="00656348" w:rsidRPr="004174D0">
        <w:rPr>
          <w:b/>
          <w:bCs/>
          <w:color w:val="000000" w:themeColor="text1"/>
        </w:rPr>
        <w:t>set</w:t>
      </w:r>
    </w:p>
    <w:p w14:paraId="429345E8" w14:textId="221F5706" w:rsidR="001D449F" w:rsidRPr="004174D0" w:rsidRDefault="001D449F" w:rsidP="00D34321">
      <w:pPr>
        <w:rPr>
          <w:color w:val="000000" w:themeColor="text1"/>
        </w:rPr>
      </w:pPr>
      <w:r w:rsidRPr="004174D0">
        <w:rPr>
          <w:color w:val="000000" w:themeColor="text1"/>
        </w:rPr>
        <w:t xml:space="preserve">I used the age column to </w:t>
      </w:r>
      <w:r w:rsidR="00645CA1" w:rsidRPr="004174D0">
        <w:rPr>
          <w:color w:val="000000" w:themeColor="text1"/>
        </w:rPr>
        <w:t xml:space="preserve">present a descriptive analysis of the age of patients </w:t>
      </w:r>
      <w:r w:rsidR="009A6719" w:rsidRPr="004174D0">
        <w:rPr>
          <w:color w:val="000000" w:themeColor="text1"/>
        </w:rPr>
        <w:t>for this data which includes a bar chart and the values for mean, median, minimum and max</w:t>
      </w:r>
      <w:r w:rsidR="00656348" w:rsidRPr="004174D0">
        <w:rPr>
          <w:color w:val="000000" w:themeColor="text1"/>
        </w:rPr>
        <w:t>imum.</w:t>
      </w:r>
    </w:p>
    <w:p w14:paraId="3DB1E54A" w14:textId="77777777" w:rsidR="003B593D" w:rsidRPr="004174D0" w:rsidRDefault="003B593D" w:rsidP="00D34321">
      <w:pPr>
        <w:rPr>
          <w:color w:val="000000" w:themeColor="text1"/>
        </w:rPr>
      </w:pPr>
    </w:p>
    <w:p w14:paraId="20B19978" w14:textId="77777777" w:rsidR="003B593D" w:rsidRPr="004174D0" w:rsidRDefault="003B593D" w:rsidP="00D34321">
      <w:pPr>
        <w:rPr>
          <w:color w:val="000000" w:themeColor="text1"/>
        </w:rPr>
      </w:pPr>
    </w:p>
    <w:p w14:paraId="419AD345" w14:textId="77777777" w:rsidR="00656348" w:rsidRPr="004174D0" w:rsidRDefault="00656348" w:rsidP="00D34321">
      <w:pPr>
        <w:rPr>
          <w:color w:val="000000" w:themeColor="text1"/>
        </w:rPr>
      </w:pPr>
    </w:p>
    <w:p w14:paraId="3B562F3E" w14:textId="53DF74D2" w:rsidR="00656348" w:rsidRPr="004174D0" w:rsidRDefault="00656348" w:rsidP="00656348">
      <w:pPr>
        <w:jc w:val="center"/>
        <w:rPr>
          <w:color w:val="156082" w:themeColor="accent1"/>
        </w:rPr>
      </w:pPr>
      <w:r w:rsidRPr="004174D0">
        <w:rPr>
          <w:noProof/>
        </w:rPr>
        <mc:AlternateContent>
          <mc:Choice Requires="cx1">
            <w:drawing>
              <wp:inline distT="0" distB="0" distL="0" distR="0" wp14:anchorId="3E916EEF" wp14:editId="6C59AE13">
                <wp:extent cx="4572000" cy="2743200"/>
                <wp:effectExtent l="0" t="0" r="0" b="0"/>
                <wp:docPr id="90175361" name="Chart 1">
                  <a:extLst xmlns:a="http://schemas.openxmlformats.org/drawingml/2006/main">
                    <a:ext uri="{FF2B5EF4-FFF2-40B4-BE49-F238E27FC236}">
                      <a16:creationId xmlns:a16="http://schemas.microsoft.com/office/drawing/2014/main" id="{A4B79E1E-7928-6E79-02CF-34F65FD2AD4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3E916EEF" wp14:editId="6C59AE13">
                <wp:extent cx="4572000" cy="2743200"/>
                <wp:effectExtent l="0" t="0" r="0" b="0"/>
                <wp:docPr id="90175361" name="Chart 1">
                  <a:extLst xmlns:a="http://schemas.openxmlformats.org/drawingml/2006/main">
                    <a:ext uri="{FF2B5EF4-FFF2-40B4-BE49-F238E27FC236}">
                      <a16:creationId xmlns:a16="http://schemas.microsoft.com/office/drawing/2014/main" id="{A4B79E1E-7928-6E79-02CF-34F65FD2AD4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0175361" name="Chart 1">
                          <a:extLst>
                            <a:ext uri="{FF2B5EF4-FFF2-40B4-BE49-F238E27FC236}">
                              <a16:creationId xmlns:a16="http://schemas.microsoft.com/office/drawing/2014/main" id="{A4B79E1E-7928-6E79-02CF-34F65FD2AD44}"/>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4572000" cy="2743200"/>
                        </a:xfrm>
                        <a:prstGeom prst="rect">
                          <a:avLst/>
                        </a:prstGeom>
                      </pic:spPr>
                    </pic:pic>
                  </a:graphicData>
                </a:graphic>
              </wp:inline>
            </w:drawing>
          </mc:Fallback>
        </mc:AlternateContent>
      </w:r>
    </w:p>
    <w:p w14:paraId="770A9060" w14:textId="77777777" w:rsidR="003B593D" w:rsidRPr="004174D0" w:rsidRDefault="003B593D" w:rsidP="00656348">
      <w:pPr>
        <w:jc w:val="center"/>
        <w:rPr>
          <w:color w:val="156082" w:themeColor="accent1"/>
        </w:rPr>
      </w:pPr>
    </w:p>
    <w:p w14:paraId="37C01E7B" w14:textId="77777777" w:rsidR="003B593D" w:rsidRPr="004174D0" w:rsidRDefault="003B593D" w:rsidP="00656348">
      <w:pPr>
        <w:jc w:val="center"/>
        <w:rPr>
          <w:color w:val="156082" w:themeColor="accent1"/>
        </w:rPr>
      </w:pPr>
    </w:p>
    <w:p w14:paraId="158AFA9E" w14:textId="77777777" w:rsidR="003B593D" w:rsidRPr="004174D0" w:rsidRDefault="003B593D" w:rsidP="00656348">
      <w:pPr>
        <w:jc w:val="center"/>
        <w:rPr>
          <w:color w:val="156082" w:themeColor="accent1"/>
        </w:rPr>
      </w:pPr>
    </w:p>
    <w:tbl>
      <w:tblPr>
        <w:tblStyle w:val="GridTable6Colorful-Accent1"/>
        <w:tblW w:w="0" w:type="auto"/>
        <w:tblLook w:val="04A0" w:firstRow="1" w:lastRow="0" w:firstColumn="1" w:lastColumn="0" w:noHBand="0" w:noVBand="1"/>
      </w:tblPr>
      <w:tblGrid>
        <w:gridCol w:w="4675"/>
        <w:gridCol w:w="4675"/>
      </w:tblGrid>
      <w:tr w:rsidR="005821FC" w:rsidRPr="004174D0" w14:paraId="789C0C55" w14:textId="77777777" w:rsidTr="00582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8E46B7" w14:textId="4A546717" w:rsidR="00656348" w:rsidRPr="004174D0" w:rsidRDefault="006910E4" w:rsidP="00656348">
            <w:pPr>
              <w:jc w:val="center"/>
              <w:rPr>
                <w:b w:val="0"/>
                <w:bCs w:val="0"/>
                <w:color w:val="0D0D0D" w:themeColor="text1" w:themeTint="F2"/>
              </w:rPr>
            </w:pPr>
            <w:r w:rsidRPr="004174D0">
              <w:rPr>
                <w:b w:val="0"/>
                <w:bCs w:val="0"/>
                <w:color w:val="0D0D0D" w:themeColor="text1" w:themeTint="F2"/>
              </w:rPr>
              <w:t>Measure</w:t>
            </w:r>
          </w:p>
        </w:tc>
        <w:tc>
          <w:tcPr>
            <w:tcW w:w="4675" w:type="dxa"/>
          </w:tcPr>
          <w:p w14:paraId="3B3B9A52" w14:textId="52C69ECC" w:rsidR="00656348" w:rsidRPr="004174D0" w:rsidRDefault="006910E4" w:rsidP="00656348">
            <w:pPr>
              <w:jc w:val="center"/>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rPr>
            </w:pPr>
            <w:r w:rsidRPr="004174D0">
              <w:rPr>
                <w:b w:val="0"/>
                <w:bCs w:val="0"/>
                <w:color w:val="0D0D0D" w:themeColor="text1" w:themeTint="F2"/>
              </w:rPr>
              <w:t>Age (Years)</w:t>
            </w:r>
          </w:p>
        </w:tc>
      </w:tr>
      <w:tr w:rsidR="005821FC" w:rsidRPr="004174D0" w14:paraId="68E15657" w14:textId="77777777" w:rsidTr="00582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922333" w14:textId="66736492" w:rsidR="00656348" w:rsidRPr="004174D0" w:rsidRDefault="006910E4" w:rsidP="00656348">
            <w:pPr>
              <w:jc w:val="center"/>
              <w:rPr>
                <w:b w:val="0"/>
                <w:bCs w:val="0"/>
                <w:color w:val="0D0D0D" w:themeColor="text1" w:themeTint="F2"/>
              </w:rPr>
            </w:pPr>
            <w:r w:rsidRPr="004174D0">
              <w:rPr>
                <w:b w:val="0"/>
                <w:bCs w:val="0"/>
                <w:color w:val="0D0D0D" w:themeColor="text1" w:themeTint="F2"/>
              </w:rPr>
              <w:t>Mean</w:t>
            </w:r>
          </w:p>
        </w:tc>
        <w:tc>
          <w:tcPr>
            <w:tcW w:w="4675" w:type="dxa"/>
          </w:tcPr>
          <w:p w14:paraId="225D1AFE" w14:textId="3CF1F5E4" w:rsidR="00656348" w:rsidRPr="004174D0" w:rsidRDefault="00B63588" w:rsidP="00656348">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4174D0">
              <w:rPr>
                <w:color w:val="0D0D0D" w:themeColor="text1" w:themeTint="F2"/>
              </w:rPr>
              <w:t>33.24</w:t>
            </w:r>
          </w:p>
        </w:tc>
      </w:tr>
      <w:tr w:rsidR="005821FC" w:rsidRPr="004174D0" w14:paraId="3C7D908E" w14:textId="77777777" w:rsidTr="005821FC">
        <w:tc>
          <w:tcPr>
            <w:cnfStyle w:val="001000000000" w:firstRow="0" w:lastRow="0" w:firstColumn="1" w:lastColumn="0" w:oddVBand="0" w:evenVBand="0" w:oddHBand="0" w:evenHBand="0" w:firstRowFirstColumn="0" w:firstRowLastColumn="0" w:lastRowFirstColumn="0" w:lastRowLastColumn="0"/>
            <w:tcW w:w="4675" w:type="dxa"/>
          </w:tcPr>
          <w:p w14:paraId="27BA402B" w14:textId="4044E565" w:rsidR="00656348" w:rsidRPr="004174D0" w:rsidRDefault="00B63588" w:rsidP="00656348">
            <w:pPr>
              <w:jc w:val="center"/>
              <w:rPr>
                <w:b w:val="0"/>
                <w:bCs w:val="0"/>
                <w:color w:val="0D0D0D" w:themeColor="text1" w:themeTint="F2"/>
              </w:rPr>
            </w:pPr>
            <w:r w:rsidRPr="004174D0">
              <w:rPr>
                <w:b w:val="0"/>
                <w:bCs w:val="0"/>
                <w:color w:val="0D0D0D" w:themeColor="text1" w:themeTint="F2"/>
              </w:rPr>
              <w:t>Median</w:t>
            </w:r>
          </w:p>
        </w:tc>
        <w:tc>
          <w:tcPr>
            <w:tcW w:w="4675" w:type="dxa"/>
          </w:tcPr>
          <w:p w14:paraId="2F3C6F10" w14:textId="492A5419" w:rsidR="00656348" w:rsidRPr="004174D0" w:rsidRDefault="00B63588" w:rsidP="00656348">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4174D0">
              <w:rPr>
                <w:color w:val="0D0D0D" w:themeColor="text1" w:themeTint="F2"/>
              </w:rPr>
              <w:t>29</w:t>
            </w:r>
          </w:p>
        </w:tc>
      </w:tr>
      <w:tr w:rsidR="005821FC" w:rsidRPr="004174D0" w14:paraId="767FCB2E" w14:textId="77777777" w:rsidTr="00582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1F65F6" w14:textId="7EF1018B" w:rsidR="00656348" w:rsidRPr="004174D0" w:rsidRDefault="00B63588" w:rsidP="00656348">
            <w:pPr>
              <w:jc w:val="center"/>
              <w:rPr>
                <w:b w:val="0"/>
                <w:bCs w:val="0"/>
                <w:color w:val="0D0D0D" w:themeColor="text1" w:themeTint="F2"/>
              </w:rPr>
            </w:pPr>
            <w:r w:rsidRPr="004174D0">
              <w:rPr>
                <w:b w:val="0"/>
                <w:bCs w:val="0"/>
                <w:color w:val="0D0D0D" w:themeColor="text1" w:themeTint="F2"/>
              </w:rPr>
              <w:t>Minimum</w:t>
            </w:r>
          </w:p>
        </w:tc>
        <w:tc>
          <w:tcPr>
            <w:tcW w:w="4675" w:type="dxa"/>
          </w:tcPr>
          <w:p w14:paraId="2797680F" w14:textId="5273621F" w:rsidR="00656348" w:rsidRPr="004174D0" w:rsidRDefault="00B63588" w:rsidP="00656348">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4174D0">
              <w:rPr>
                <w:color w:val="0D0D0D" w:themeColor="text1" w:themeTint="F2"/>
              </w:rPr>
              <w:t>21</w:t>
            </w:r>
          </w:p>
        </w:tc>
      </w:tr>
      <w:tr w:rsidR="005821FC" w:rsidRPr="004174D0" w14:paraId="69BEE619" w14:textId="77777777" w:rsidTr="005821FC">
        <w:tc>
          <w:tcPr>
            <w:cnfStyle w:val="001000000000" w:firstRow="0" w:lastRow="0" w:firstColumn="1" w:lastColumn="0" w:oddVBand="0" w:evenVBand="0" w:oddHBand="0" w:evenHBand="0" w:firstRowFirstColumn="0" w:firstRowLastColumn="0" w:lastRowFirstColumn="0" w:lastRowLastColumn="0"/>
            <w:tcW w:w="4675" w:type="dxa"/>
          </w:tcPr>
          <w:p w14:paraId="1FA2ABB5" w14:textId="6D47CDD4" w:rsidR="00656348" w:rsidRPr="004174D0" w:rsidRDefault="00B63588" w:rsidP="00656348">
            <w:pPr>
              <w:jc w:val="center"/>
              <w:rPr>
                <w:b w:val="0"/>
                <w:bCs w:val="0"/>
                <w:color w:val="0D0D0D" w:themeColor="text1" w:themeTint="F2"/>
              </w:rPr>
            </w:pPr>
            <w:r w:rsidRPr="004174D0">
              <w:rPr>
                <w:b w:val="0"/>
                <w:bCs w:val="0"/>
                <w:color w:val="0D0D0D" w:themeColor="text1" w:themeTint="F2"/>
              </w:rPr>
              <w:t>Maximum</w:t>
            </w:r>
          </w:p>
        </w:tc>
        <w:tc>
          <w:tcPr>
            <w:tcW w:w="4675" w:type="dxa"/>
          </w:tcPr>
          <w:p w14:paraId="3EA20C4E" w14:textId="5D6D5445" w:rsidR="00656348" w:rsidRPr="004174D0" w:rsidRDefault="00B63588" w:rsidP="00656348">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4174D0">
              <w:rPr>
                <w:color w:val="0D0D0D" w:themeColor="text1" w:themeTint="F2"/>
              </w:rPr>
              <w:t>81</w:t>
            </w:r>
          </w:p>
        </w:tc>
      </w:tr>
    </w:tbl>
    <w:p w14:paraId="2A9F2743" w14:textId="7AEDABB0" w:rsidR="00656348" w:rsidRPr="004174D0" w:rsidRDefault="00656348" w:rsidP="00656348">
      <w:pPr>
        <w:jc w:val="center"/>
        <w:rPr>
          <w:noProof/>
          <w:color w:val="156082" w:themeColor="accent1"/>
        </w:rPr>
      </w:pPr>
    </w:p>
    <w:p w14:paraId="53C2860B" w14:textId="77777777" w:rsidR="003B593D" w:rsidRPr="004174D0" w:rsidRDefault="003B593D" w:rsidP="00ED6C0A">
      <w:pPr>
        <w:rPr>
          <w:noProof/>
          <w:color w:val="0D0D0D" w:themeColor="text1" w:themeTint="F2"/>
        </w:rPr>
      </w:pPr>
    </w:p>
    <w:p w14:paraId="729509A9" w14:textId="77777777" w:rsidR="003B593D" w:rsidRPr="004174D0" w:rsidRDefault="003B593D" w:rsidP="00ED6C0A">
      <w:pPr>
        <w:rPr>
          <w:noProof/>
          <w:color w:val="0D0D0D" w:themeColor="text1" w:themeTint="F2"/>
        </w:rPr>
      </w:pPr>
    </w:p>
    <w:p w14:paraId="67016E80" w14:textId="77777777" w:rsidR="003B593D" w:rsidRPr="004174D0" w:rsidRDefault="003B593D" w:rsidP="00ED6C0A">
      <w:pPr>
        <w:rPr>
          <w:noProof/>
          <w:color w:val="0D0D0D" w:themeColor="text1" w:themeTint="F2"/>
        </w:rPr>
      </w:pPr>
    </w:p>
    <w:p w14:paraId="42CC3230" w14:textId="067F919A" w:rsidR="00ED6C0A" w:rsidRPr="004174D0" w:rsidRDefault="00ED6C0A" w:rsidP="00ED6C0A">
      <w:pPr>
        <w:rPr>
          <w:noProof/>
          <w:color w:val="0D0D0D" w:themeColor="text1" w:themeTint="F2"/>
        </w:rPr>
      </w:pPr>
      <w:r w:rsidRPr="004174D0">
        <w:rPr>
          <w:noProof/>
          <w:color w:val="0D0D0D" w:themeColor="text1" w:themeTint="F2"/>
        </w:rPr>
        <w:lastRenderedPageBreak/>
        <w:t>Additionally, I calculated the ra</w:t>
      </w:r>
      <w:r w:rsidR="003B593D" w:rsidRPr="004174D0">
        <w:rPr>
          <w:noProof/>
          <w:color w:val="0D0D0D" w:themeColor="text1" w:themeTint="F2"/>
        </w:rPr>
        <w:t>tio between non-diabetics and diabetics and displayed it on a pie chart below.</w:t>
      </w:r>
    </w:p>
    <w:p w14:paraId="554801E0" w14:textId="77777777" w:rsidR="003B593D" w:rsidRPr="004174D0" w:rsidRDefault="003B593D" w:rsidP="00ED6C0A">
      <w:pPr>
        <w:rPr>
          <w:noProof/>
          <w:color w:val="0D0D0D" w:themeColor="text1" w:themeTint="F2"/>
        </w:rPr>
      </w:pPr>
    </w:p>
    <w:p w14:paraId="283A4B76" w14:textId="5F6DB32D" w:rsidR="003B593D" w:rsidRPr="004174D0" w:rsidRDefault="003B593D" w:rsidP="003B593D">
      <w:pPr>
        <w:jc w:val="center"/>
        <w:rPr>
          <w:color w:val="0D0D0D" w:themeColor="text1" w:themeTint="F2"/>
        </w:rPr>
      </w:pPr>
      <w:r w:rsidRPr="004174D0">
        <w:rPr>
          <w:noProof/>
          <w:color w:val="156082" w:themeColor="accent1"/>
        </w:rPr>
        <w:drawing>
          <wp:inline distT="0" distB="0" distL="0" distR="0" wp14:anchorId="0E7F9FDD" wp14:editId="5124A4F2">
            <wp:extent cx="4274820" cy="2202180"/>
            <wp:effectExtent l="0" t="0" r="11430" b="7620"/>
            <wp:docPr id="10628066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FDAF1D9" w14:textId="77777777" w:rsidR="00A738FF" w:rsidRPr="004174D0" w:rsidRDefault="00A738FF" w:rsidP="003B593D">
      <w:pPr>
        <w:jc w:val="center"/>
        <w:rPr>
          <w:color w:val="0D0D0D" w:themeColor="text1" w:themeTint="F2"/>
        </w:rPr>
      </w:pPr>
    </w:p>
    <w:p w14:paraId="6FB71122" w14:textId="5103E203" w:rsidR="00A738FF" w:rsidRDefault="00A738FF" w:rsidP="00A738FF">
      <w:pPr>
        <w:rPr>
          <w:b/>
          <w:bCs/>
          <w:color w:val="0D0D0D" w:themeColor="text1" w:themeTint="F2"/>
        </w:rPr>
      </w:pPr>
      <w:r w:rsidRPr="004174D0">
        <w:rPr>
          <w:b/>
          <w:bCs/>
          <w:color w:val="0D0D0D" w:themeColor="text1" w:themeTint="F2"/>
        </w:rPr>
        <w:t>3</w:t>
      </w:r>
      <w:r w:rsidR="004174D0" w:rsidRPr="004174D0">
        <w:rPr>
          <w:b/>
          <w:bCs/>
          <w:color w:val="0D0D0D" w:themeColor="text1" w:themeTint="F2"/>
        </w:rPr>
        <w:t>. Summary</w:t>
      </w:r>
    </w:p>
    <w:p w14:paraId="00058C35" w14:textId="5DCE8A1B" w:rsidR="00035C13" w:rsidRPr="00035C13" w:rsidRDefault="00655A78" w:rsidP="00655A78">
      <w:pPr>
        <w:rPr>
          <w:color w:val="0D0D0D" w:themeColor="text1" w:themeTint="F2"/>
        </w:rPr>
      </w:pPr>
      <w:r w:rsidRPr="00655A78">
        <w:rPr>
          <w:color w:val="0D0D0D" w:themeColor="text1" w:themeTint="F2"/>
        </w:rPr>
        <w:t xml:space="preserve">The analysis focused on the age distribution, variable types, and diabetes ratio within the dataset. Most of the variables, such as glucose, blood pressure, and BMI, are continuous and independent, while the diabetes class variable is categorical and dependent. The average age of participants is around 33 years, with a median of 29, showing that most patients are relatively young adults and that the age data is slightly right-skewed. The ratio of </w:t>
      </w:r>
      <w:r w:rsidR="002F636F" w:rsidRPr="00655A78">
        <w:rPr>
          <w:color w:val="0D0D0D" w:themeColor="text1" w:themeTint="F2"/>
        </w:rPr>
        <w:t>diabetics</w:t>
      </w:r>
      <w:r w:rsidRPr="00655A78">
        <w:rPr>
          <w:color w:val="0D0D0D" w:themeColor="text1" w:themeTint="F2"/>
        </w:rPr>
        <w:t xml:space="preserve"> to non-diabetic patients is roughly one to two, meaning most participants do not have diabetes. Overall, the data shows a young population with a moderate presence of diabetes, and the variables are suitable for studying how these health factors relate to diabetic outcomes.</w:t>
      </w:r>
    </w:p>
    <w:sectPr w:rsidR="00035C13" w:rsidRPr="00035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40067"/>
    <w:multiLevelType w:val="multilevel"/>
    <w:tmpl w:val="27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12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C6"/>
    <w:rsid w:val="000077B3"/>
    <w:rsid w:val="00035C13"/>
    <w:rsid w:val="001B46B0"/>
    <w:rsid w:val="001D449F"/>
    <w:rsid w:val="002F636F"/>
    <w:rsid w:val="003B593D"/>
    <w:rsid w:val="003D5110"/>
    <w:rsid w:val="003E32CF"/>
    <w:rsid w:val="003F2B3D"/>
    <w:rsid w:val="004174D0"/>
    <w:rsid w:val="00527172"/>
    <w:rsid w:val="005677A2"/>
    <w:rsid w:val="005821FC"/>
    <w:rsid w:val="00645CA1"/>
    <w:rsid w:val="00655A78"/>
    <w:rsid w:val="00656348"/>
    <w:rsid w:val="006910E4"/>
    <w:rsid w:val="007243F5"/>
    <w:rsid w:val="008138CB"/>
    <w:rsid w:val="00817126"/>
    <w:rsid w:val="0085055F"/>
    <w:rsid w:val="00934594"/>
    <w:rsid w:val="00935452"/>
    <w:rsid w:val="009A6306"/>
    <w:rsid w:val="009A6719"/>
    <w:rsid w:val="00A5207D"/>
    <w:rsid w:val="00A67D99"/>
    <w:rsid w:val="00A738FF"/>
    <w:rsid w:val="00B63588"/>
    <w:rsid w:val="00CA68C6"/>
    <w:rsid w:val="00D34321"/>
    <w:rsid w:val="00E473C5"/>
    <w:rsid w:val="00E72D12"/>
    <w:rsid w:val="00ED6C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E85A"/>
  <w15:chartTrackingRefBased/>
  <w15:docId w15:val="{95F99CEB-B164-4946-AADB-E533BDD3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8C6"/>
    <w:rPr>
      <w:rFonts w:eastAsiaTheme="majorEastAsia" w:cstheme="majorBidi"/>
      <w:color w:val="272727" w:themeColor="text1" w:themeTint="D8"/>
    </w:rPr>
  </w:style>
  <w:style w:type="paragraph" w:styleId="Title">
    <w:name w:val="Title"/>
    <w:basedOn w:val="Normal"/>
    <w:next w:val="Normal"/>
    <w:link w:val="TitleChar"/>
    <w:uiPriority w:val="10"/>
    <w:qFormat/>
    <w:rsid w:val="00CA6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8C6"/>
    <w:pPr>
      <w:spacing w:before="160"/>
      <w:jc w:val="center"/>
    </w:pPr>
    <w:rPr>
      <w:i/>
      <w:iCs/>
      <w:color w:val="404040" w:themeColor="text1" w:themeTint="BF"/>
    </w:rPr>
  </w:style>
  <w:style w:type="character" w:customStyle="1" w:styleId="QuoteChar">
    <w:name w:val="Quote Char"/>
    <w:basedOn w:val="DefaultParagraphFont"/>
    <w:link w:val="Quote"/>
    <w:uiPriority w:val="29"/>
    <w:rsid w:val="00CA68C6"/>
    <w:rPr>
      <w:i/>
      <w:iCs/>
      <w:color w:val="404040" w:themeColor="text1" w:themeTint="BF"/>
    </w:rPr>
  </w:style>
  <w:style w:type="paragraph" w:styleId="ListParagraph">
    <w:name w:val="List Paragraph"/>
    <w:basedOn w:val="Normal"/>
    <w:uiPriority w:val="34"/>
    <w:qFormat/>
    <w:rsid w:val="00CA68C6"/>
    <w:pPr>
      <w:ind w:left="720"/>
      <w:contextualSpacing/>
    </w:pPr>
  </w:style>
  <w:style w:type="character" w:styleId="IntenseEmphasis">
    <w:name w:val="Intense Emphasis"/>
    <w:basedOn w:val="DefaultParagraphFont"/>
    <w:uiPriority w:val="21"/>
    <w:qFormat/>
    <w:rsid w:val="00CA68C6"/>
    <w:rPr>
      <w:i/>
      <w:iCs/>
      <w:color w:val="0F4761" w:themeColor="accent1" w:themeShade="BF"/>
    </w:rPr>
  </w:style>
  <w:style w:type="paragraph" w:styleId="IntenseQuote">
    <w:name w:val="Intense Quote"/>
    <w:basedOn w:val="Normal"/>
    <w:next w:val="Normal"/>
    <w:link w:val="IntenseQuoteChar"/>
    <w:uiPriority w:val="30"/>
    <w:qFormat/>
    <w:rsid w:val="00CA6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8C6"/>
    <w:rPr>
      <w:i/>
      <w:iCs/>
      <w:color w:val="0F4761" w:themeColor="accent1" w:themeShade="BF"/>
    </w:rPr>
  </w:style>
  <w:style w:type="character" w:styleId="IntenseReference">
    <w:name w:val="Intense Reference"/>
    <w:basedOn w:val="DefaultParagraphFont"/>
    <w:uiPriority w:val="32"/>
    <w:qFormat/>
    <w:rsid w:val="00CA68C6"/>
    <w:rPr>
      <w:b/>
      <w:bCs/>
      <w:smallCaps/>
      <w:color w:val="0F4761" w:themeColor="accent1" w:themeShade="BF"/>
      <w:spacing w:val="5"/>
    </w:rPr>
  </w:style>
  <w:style w:type="table" w:styleId="TableGrid">
    <w:name w:val="Table Grid"/>
    <w:basedOn w:val="TableNormal"/>
    <w:uiPriority w:val="39"/>
    <w:rsid w:val="00656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5821F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microsoft.com/office/2014/relationships/chartEx" Target="charts/chartEx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Owner\Downloads\Week%20%204%20Lecture%20on%20Data%20Visualisation-20251028\pima_indians_diabetes.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Count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089-44B9-BECC-B81F76913F8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089-44B9-BECC-B81F76913F85}"/>
              </c:ext>
            </c:extLst>
          </c:dPt>
          <c:cat>
            <c:strRef>
              <c:f>Sheet1!$A$2:$A$3</c:f>
              <c:strCache>
                <c:ptCount val="2"/>
                <c:pt idx="0">
                  <c:v>Non-diabetic (0)</c:v>
                </c:pt>
                <c:pt idx="1">
                  <c:v>diabetic</c:v>
                </c:pt>
              </c:strCache>
            </c:strRef>
          </c:cat>
          <c:val>
            <c:numRef>
              <c:f>Sheet1!$B$2:$B$3</c:f>
              <c:numCache>
                <c:formatCode>General</c:formatCode>
                <c:ptCount val="2"/>
                <c:pt idx="0">
                  <c:v>500</c:v>
                </c:pt>
                <c:pt idx="1">
                  <c:v>268</c:v>
                </c:pt>
              </c:numCache>
            </c:numRef>
          </c:val>
          <c:extLst>
            <c:ext xmlns:c16="http://schemas.microsoft.com/office/drawing/2014/chart" uri="{C3380CC4-5D6E-409C-BE32-E72D297353CC}">
              <c16:uniqueId val="{00000004-7089-44B9-BECC-B81F76913F8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pima_indians_diabetes!$H$2:$H$769</cx:f>
        <cx:lvl ptCount="768" formatCode="General">
          <cx:pt idx="0">50</cx:pt>
          <cx:pt idx="1">31</cx:pt>
          <cx:pt idx="2">32</cx:pt>
          <cx:pt idx="3">21</cx:pt>
          <cx:pt idx="4">33</cx:pt>
          <cx:pt idx="5">30</cx:pt>
          <cx:pt idx="6">26</cx:pt>
          <cx:pt idx="7">29</cx:pt>
          <cx:pt idx="8">53</cx:pt>
          <cx:pt idx="9">54</cx:pt>
          <cx:pt idx="10">30</cx:pt>
          <cx:pt idx="11">34</cx:pt>
          <cx:pt idx="12">57</cx:pt>
          <cx:pt idx="13">59</cx:pt>
          <cx:pt idx="14">51</cx:pt>
          <cx:pt idx="15">32</cx:pt>
          <cx:pt idx="16">31</cx:pt>
          <cx:pt idx="17">31</cx:pt>
          <cx:pt idx="18">33</cx:pt>
          <cx:pt idx="19">32</cx:pt>
          <cx:pt idx="20">27</cx:pt>
          <cx:pt idx="21">50</cx:pt>
          <cx:pt idx="22">41</cx:pt>
          <cx:pt idx="23">29</cx:pt>
          <cx:pt idx="24">51</cx:pt>
          <cx:pt idx="25">41</cx:pt>
          <cx:pt idx="26">43</cx:pt>
          <cx:pt idx="27">22</cx:pt>
          <cx:pt idx="28">57</cx:pt>
          <cx:pt idx="29">38</cx:pt>
          <cx:pt idx="30">60</cx:pt>
          <cx:pt idx="31">28</cx:pt>
          <cx:pt idx="32">22</cx:pt>
          <cx:pt idx="33">28</cx:pt>
          <cx:pt idx="34">45</cx:pt>
          <cx:pt idx="35">33</cx:pt>
          <cx:pt idx="36">35</cx:pt>
          <cx:pt idx="37">46</cx:pt>
          <cx:pt idx="38">27</cx:pt>
          <cx:pt idx="39">56</cx:pt>
          <cx:pt idx="40">26</cx:pt>
          <cx:pt idx="41">37</cx:pt>
          <cx:pt idx="42">48</cx:pt>
          <cx:pt idx="43">54</cx:pt>
          <cx:pt idx="44">40</cx:pt>
          <cx:pt idx="45">25</cx:pt>
          <cx:pt idx="46">29</cx:pt>
          <cx:pt idx="47">22</cx:pt>
          <cx:pt idx="48">31</cx:pt>
          <cx:pt idx="49">24</cx:pt>
          <cx:pt idx="50">22</cx:pt>
          <cx:pt idx="51">26</cx:pt>
          <cx:pt idx="52">30</cx:pt>
          <cx:pt idx="53">58</cx:pt>
          <cx:pt idx="54">42</cx:pt>
          <cx:pt idx="55">21</cx:pt>
          <cx:pt idx="56">41</cx:pt>
          <cx:pt idx="57">31</cx:pt>
          <cx:pt idx="58">44</cx:pt>
          <cx:pt idx="59">22</cx:pt>
          <cx:pt idx="60">21</cx:pt>
          <cx:pt idx="61">39</cx:pt>
          <cx:pt idx="62">36</cx:pt>
          <cx:pt idx="63">24</cx:pt>
          <cx:pt idx="64">42</cx:pt>
          <cx:pt idx="65">32</cx:pt>
          <cx:pt idx="66">38</cx:pt>
          <cx:pt idx="67">54</cx:pt>
          <cx:pt idx="68">25</cx:pt>
          <cx:pt idx="69">27</cx:pt>
          <cx:pt idx="70">28</cx:pt>
          <cx:pt idx="71">26</cx:pt>
          <cx:pt idx="72">42</cx:pt>
          <cx:pt idx="73">23</cx:pt>
          <cx:pt idx="74">22</cx:pt>
          <cx:pt idx="75">22</cx:pt>
          <cx:pt idx="76">41</cx:pt>
          <cx:pt idx="77">27</cx:pt>
          <cx:pt idx="78">26</cx:pt>
          <cx:pt idx="79">24</cx:pt>
          <cx:pt idx="80">22</cx:pt>
          <cx:pt idx="81">22</cx:pt>
          <cx:pt idx="82">36</cx:pt>
          <cx:pt idx="83">22</cx:pt>
          <cx:pt idx="84">37</cx:pt>
          <cx:pt idx="85">27</cx:pt>
          <cx:pt idx="86">45</cx:pt>
          <cx:pt idx="87">26</cx:pt>
          <cx:pt idx="88">43</cx:pt>
          <cx:pt idx="89">24</cx:pt>
          <cx:pt idx="90">21</cx:pt>
          <cx:pt idx="91">34</cx:pt>
          <cx:pt idx="92">42</cx:pt>
          <cx:pt idx="93">60</cx:pt>
          <cx:pt idx="94">21</cx:pt>
          <cx:pt idx="95">40</cx:pt>
          <cx:pt idx="96">24</cx:pt>
          <cx:pt idx="97">22</cx:pt>
          <cx:pt idx="98">23</cx:pt>
          <cx:pt idx="99">31</cx:pt>
          <cx:pt idx="100">33</cx:pt>
          <cx:pt idx="101">22</cx:pt>
          <cx:pt idx="102">21</cx:pt>
          <cx:pt idx="103">24</cx:pt>
          <cx:pt idx="104">27</cx:pt>
          <cx:pt idx="105">21</cx:pt>
          <cx:pt idx="106">27</cx:pt>
          <cx:pt idx="107">37</cx:pt>
          <cx:pt idx="108">25</cx:pt>
          <cx:pt idx="109">24</cx:pt>
          <cx:pt idx="110">24</cx:pt>
          <cx:pt idx="111">46</cx:pt>
          <cx:pt idx="112">23</cx:pt>
          <cx:pt idx="113">25</cx:pt>
          <cx:pt idx="114">39</cx:pt>
          <cx:pt idx="115">61</cx:pt>
          <cx:pt idx="116">38</cx:pt>
          <cx:pt idx="117">25</cx:pt>
          <cx:pt idx="118">22</cx:pt>
          <cx:pt idx="119">21</cx:pt>
          <cx:pt idx="120">25</cx:pt>
          <cx:pt idx="121">24</cx:pt>
          <cx:pt idx="122">23</cx:pt>
          <cx:pt idx="123">69</cx:pt>
          <cx:pt idx="124">23</cx:pt>
          <cx:pt idx="125">26</cx:pt>
          <cx:pt idx="126">30</cx:pt>
          <cx:pt idx="127">23</cx:pt>
          <cx:pt idx="128">40</cx:pt>
          <cx:pt idx="129">62</cx:pt>
          <cx:pt idx="130">33</cx:pt>
          <cx:pt idx="131">33</cx:pt>
          <cx:pt idx="132">30</cx:pt>
          <cx:pt idx="133">39</cx:pt>
          <cx:pt idx="134">26</cx:pt>
          <cx:pt idx="135">31</cx:pt>
          <cx:pt idx="136">21</cx:pt>
          <cx:pt idx="137">22</cx:pt>
          <cx:pt idx="138">29</cx:pt>
          <cx:pt idx="139">28</cx:pt>
          <cx:pt idx="140">55</cx:pt>
          <cx:pt idx="141">38</cx:pt>
          <cx:pt idx="142">22</cx:pt>
          <cx:pt idx="143">42</cx:pt>
          <cx:pt idx="144">23</cx:pt>
          <cx:pt idx="145">21</cx:pt>
          <cx:pt idx="146">41</cx:pt>
          <cx:pt idx="147">34</cx:pt>
          <cx:pt idx="148">65</cx:pt>
          <cx:pt idx="149">22</cx:pt>
          <cx:pt idx="150">24</cx:pt>
          <cx:pt idx="151">37</cx:pt>
          <cx:pt idx="152">42</cx:pt>
          <cx:pt idx="153">23</cx:pt>
          <cx:pt idx="154">43</cx:pt>
          <cx:pt idx="155">36</cx:pt>
          <cx:pt idx="156">21</cx:pt>
          <cx:pt idx="157">23</cx:pt>
          <cx:pt idx="158">22</cx:pt>
          <cx:pt idx="159">47</cx:pt>
          <cx:pt idx="160">36</cx:pt>
          <cx:pt idx="161">45</cx:pt>
          <cx:pt idx="162">27</cx:pt>
          <cx:pt idx="163">21</cx:pt>
          <cx:pt idx="164">32</cx:pt>
          <cx:pt idx="165">41</cx:pt>
          <cx:pt idx="166">22</cx:pt>
          <cx:pt idx="167">34</cx:pt>
          <cx:pt idx="168">29</cx:pt>
          <cx:pt idx="169">29</cx:pt>
          <cx:pt idx="170">36</cx:pt>
          <cx:pt idx="171">29</cx:pt>
          <cx:pt idx="172">25</cx:pt>
          <cx:pt idx="173">23</cx:pt>
          <cx:pt idx="174">33</cx:pt>
          <cx:pt idx="175">36</cx:pt>
          <cx:pt idx="176">42</cx:pt>
          <cx:pt idx="177">26</cx:pt>
          <cx:pt idx="178">47</cx:pt>
          <cx:pt idx="179">37</cx:pt>
          <cx:pt idx="180">32</cx:pt>
          <cx:pt idx="181">23</cx:pt>
          <cx:pt idx="182">21</cx:pt>
          <cx:pt idx="183">27</cx:pt>
          <cx:pt idx="184">40</cx:pt>
          <cx:pt idx="185">41</cx:pt>
          <cx:pt idx="186">60</cx:pt>
          <cx:pt idx="187">33</cx:pt>
          <cx:pt idx="188">31</cx:pt>
          <cx:pt idx="189">25</cx:pt>
          <cx:pt idx="190">21</cx:pt>
          <cx:pt idx="191">40</cx:pt>
          <cx:pt idx="192">36</cx:pt>
          <cx:pt idx="193">40</cx:pt>
          <cx:pt idx="194">42</cx:pt>
          <cx:pt idx="195">29</cx:pt>
          <cx:pt idx="196">21</cx:pt>
          <cx:pt idx="197">23</cx:pt>
          <cx:pt idx="198">26</cx:pt>
          <cx:pt idx="199">29</cx:pt>
          <cx:pt idx="200">21</cx:pt>
          <cx:pt idx="201">28</cx:pt>
          <cx:pt idx="202">32</cx:pt>
          <cx:pt idx="203">27</cx:pt>
          <cx:pt idx="204">55</cx:pt>
          <cx:pt idx="205">27</cx:pt>
          <cx:pt idx="206">57</cx:pt>
          <cx:pt idx="207">52</cx:pt>
          <cx:pt idx="208">21</cx:pt>
          <cx:pt idx="209">41</cx:pt>
          <cx:pt idx="210">25</cx:pt>
          <cx:pt idx="211">24</cx:pt>
          <cx:pt idx="212">60</cx:pt>
          <cx:pt idx="213">24</cx:pt>
          <cx:pt idx="214">36</cx:pt>
          <cx:pt idx="215">38</cx:pt>
          <cx:pt idx="216">25</cx:pt>
          <cx:pt idx="217">32</cx:pt>
          <cx:pt idx="218">32</cx:pt>
          <cx:pt idx="219">41</cx:pt>
          <cx:pt idx="220">21</cx:pt>
          <cx:pt idx="221">66</cx:pt>
          <cx:pt idx="222">37</cx:pt>
          <cx:pt idx="223">61</cx:pt>
          <cx:pt idx="224">26</cx:pt>
          <cx:pt idx="225">22</cx:pt>
          <cx:pt idx="226">26</cx:pt>
          <cx:pt idx="227">24</cx:pt>
          <cx:pt idx="228">31</cx:pt>
          <cx:pt idx="229">24</cx:pt>
          <cx:pt idx="230">22</cx:pt>
          <cx:pt idx="231">46</cx:pt>
          <cx:pt idx="232">22</cx:pt>
          <cx:pt idx="233">29</cx:pt>
          <cx:pt idx="234">23</cx:pt>
          <cx:pt idx="235">26</cx:pt>
          <cx:pt idx="236">51</cx:pt>
          <cx:pt idx="237">23</cx:pt>
          <cx:pt idx="238">32</cx:pt>
          <cx:pt idx="239">27</cx:pt>
          <cx:pt idx="240">21</cx:pt>
          <cx:pt idx="241">22</cx:pt>
          <cx:pt idx="242">22</cx:pt>
          <cx:pt idx="243">33</cx:pt>
          <cx:pt idx="244">29</cx:pt>
          <cx:pt idx="245">49</cx:pt>
          <cx:pt idx="246">41</cx:pt>
          <cx:pt idx="247">23</cx:pt>
          <cx:pt idx="248">34</cx:pt>
          <cx:pt idx="249">23</cx:pt>
          <cx:pt idx="250">42</cx:pt>
          <cx:pt idx="251">27</cx:pt>
          <cx:pt idx="252">24</cx:pt>
          <cx:pt idx="253">25</cx:pt>
          <cx:pt idx="254">44</cx:pt>
          <cx:pt idx="255">21</cx:pt>
          <cx:pt idx="256">30</cx:pt>
          <cx:pt idx="257">25</cx:pt>
          <cx:pt idx="258">24</cx:pt>
          <cx:pt idx="259">51</cx:pt>
          <cx:pt idx="260">34</cx:pt>
          <cx:pt idx="261">27</cx:pt>
          <cx:pt idx="262">24</cx:pt>
          <cx:pt idx="263">63</cx:pt>
          <cx:pt idx="264">35</cx:pt>
          <cx:pt idx="265">43</cx:pt>
          <cx:pt idx="266">25</cx:pt>
          <cx:pt idx="267">24</cx:pt>
          <cx:pt idx="268">21</cx:pt>
          <cx:pt idx="269">28</cx:pt>
          <cx:pt idx="270">38</cx:pt>
          <cx:pt idx="271">21</cx:pt>
          <cx:pt idx="272">40</cx:pt>
          <cx:pt idx="273">21</cx:pt>
          <cx:pt idx="274">52</cx:pt>
          <cx:pt idx="275">25</cx:pt>
          <cx:pt idx="276">29</cx:pt>
          <cx:pt idx="277">23</cx:pt>
          <cx:pt idx="278">57</cx:pt>
          <cx:pt idx="279">22</cx:pt>
          <cx:pt idx="280">28</cx:pt>
          <cx:pt idx="281">39</cx:pt>
          <cx:pt idx="282">37</cx:pt>
          <cx:pt idx="283">47</cx:pt>
          <cx:pt idx="284">52</cx:pt>
          <cx:pt idx="285">51</cx:pt>
          <cx:pt idx="286">34</cx:pt>
          <cx:pt idx="287">29</cx:pt>
          <cx:pt idx="288">26</cx:pt>
          <cx:pt idx="289">33</cx:pt>
          <cx:pt idx="290">21</cx:pt>
          <cx:pt idx="291">25</cx:pt>
          <cx:pt idx="292">31</cx:pt>
          <cx:pt idx="293">24</cx:pt>
          <cx:pt idx="294">65</cx:pt>
          <cx:pt idx="295">28</cx:pt>
          <cx:pt idx="296">29</cx:pt>
          <cx:pt idx="297">24</cx:pt>
          <cx:pt idx="298">46</cx:pt>
          <cx:pt idx="299">58</cx:pt>
          <cx:pt idx="300">30</cx:pt>
          <cx:pt idx="301">25</cx:pt>
          <cx:pt idx="302">35</cx:pt>
          <cx:pt idx="303">28</cx:pt>
          <cx:pt idx="304">37</cx:pt>
          <cx:pt idx="305">29</cx:pt>
          <cx:pt idx="306">47</cx:pt>
          <cx:pt idx="307">21</cx:pt>
          <cx:pt idx="308">25</cx:pt>
          <cx:pt idx="309">30</cx:pt>
          <cx:pt idx="310">41</cx:pt>
          <cx:pt idx="311">22</cx:pt>
          <cx:pt idx="312">27</cx:pt>
          <cx:pt idx="313">25</cx:pt>
          <cx:pt idx="314">43</cx:pt>
          <cx:pt idx="315">26</cx:pt>
          <cx:pt idx="316">30</cx:pt>
          <cx:pt idx="317">29</cx:pt>
          <cx:pt idx="318">28</cx:pt>
          <cx:pt idx="319">59</cx:pt>
          <cx:pt idx="320">31</cx:pt>
          <cx:pt idx="321">25</cx:pt>
          <cx:pt idx="322">36</cx:pt>
          <cx:pt idx="323">43</cx:pt>
          <cx:pt idx="324">21</cx:pt>
          <cx:pt idx="325">24</cx:pt>
          <cx:pt idx="326">30</cx:pt>
          <cx:pt idx="327">37</cx:pt>
          <cx:pt idx="328">23</cx:pt>
          <cx:pt idx="329">37</cx:pt>
          <cx:pt idx="330">46</cx:pt>
          <cx:pt idx="331">25</cx:pt>
          <cx:pt idx="332">41</cx:pt>
          <cx:pt idx="333">44</cx:pt>
          <cx:pt idx="334">22</cx:pt>
          <cx:pt idx="335">26</cx:pt>
          <cx:pt idx="336">44</cx:pt>
          <cx:pt idx="337">44</cx:pt>
          <cx:pt idx="338">33</cx:pt>
          <cx:pt idx="339">41</cx:pt>
          <cx:pt idx="340">22</cx:pt>
          <cx:pt idx="341">36</cx:pt>
          <cx:pt idx="342">22</cx:pt>
          <cx:pt idx="343">33</cx:pt>
          <cx:pt idx="344">57</cx:pt>
          <cx:pt idx="345">49</cx:pt>
          <cx:pt idx="346">22</cx:pt>
          <cx:pt idx="347">23</cx:pt>
          <cx:pt idx="348">26</cx:pt>
          <cx:pt idx="349">37</cx:pt>
          <cx:pt idx="350">29</cx:pt>
          <cx:pt idx="351">30</cx:pt>
          <cx:pt idx="352">46</cx:pt>
          <cx:pt idx="353">24</cx:pt>
          <cx:pt idx="354">21</cx:pt>
          <cx:pt idx="355">49</cx:pt>
          <cx:pt idx="356">28</cx:pt>
          <cx:pt idx="357">44</cx:pt>
          <cx:pt idx="358">48</cx:pt>
          <cx:pt idx="359">29</cx:pt>
          <cx:pt idx="360">29</cx:pt>
          <cx:pt idx="361">63</cx:pt>
          <cx:pt idx="362">65</cx:pt>
          <cx:pt idx="363">67</cx:pt>
          <cx:pt idx="364">30</cx:pt>
          <cx:pt idx="365">30</cx:pt>
          <cx:pt idx="366">29</cx:pt>
          <cx:pt idx="367">21</cx:pt>
          <cx:pt idx="368">22</cx:pt>
          <cx:pt idx="369">45</cx:pt>
          <cx:pt idx="370">25</cx:pt>
          <cx:pt idx="371">21</cx:pt>
          <cx:pt idx="372">21</cx:pt>
          <cx:pt idx="373">25</cx:pt>
          <cx:pt idx="374">28</cx:pt>
          <cx:pt idx="375">58</cx:pt>
          <cx:pt idx="376">22</cx:pt>
          <cx:pt idx="377">22</cx:pt>
          <cx:pt idx="378">32</cx:pt>
          <cx:pt idx="379">35</cx:pt>
          <cx:pt idx="380">24</cx:pt>
          <cx:pt idx="381">22</cx:pt>
          <cx:pt idx="382">21</cx:pt>
          <cx:pt idx="383">25</cx:pt>
          <cx:pt idx="384">25</cx:pt>
          <cx:pt idx="385">24</cx:pt>
          <cx:pt idx="386">35</cx:pt>
          <cx:pt idx="387">45</cx:pt>
          <cx:pt idx="388">58</cx:pt>
          <cx:pt idx="389">28</cx:pt>
          <cx:pt idx="390">42</cx:pt>
          <cx:pt idx="391">27</cx:pt>
          <cx:pt idx="392">21</cx:pt>
          <cx:pt idx="393">37</cx:pt>
          <cx:pt idx="394">31</cx:pt>
          <cx:pt idx="395">25</cx:pt>
          <cx:pt idx="396">39</cx:pt>
          <cx:pt idx="397">22</cx:pt>
          <cx:pt idx="398">25</cx:pt>
          <cx:pt idx="399">25</cx:pt>
          <cx:pt idx="400">31</cx:pt>
          <cx:pt idx="401">55</cx:pt>
          <cx:pt idx="402">35</cx:pt>
          <cx:pt idx="403">38</cx:pt>
          <cx:pt idx="404">41</cx:pt>
          <cx:pt idx="405">26</cx:pt>
          <cx:pt idx="406">46</cx:pt>
          <cx:pt idx="407">25</cx:pt>
          <cx:pt idx="408">39</cx:pt>
          <cx:pt idx="409">28</cx:pt>
          <cx:pt idx="410">28</cx:pt>
          <cx:pt idx="411">25</cx:pt>
          <cx:pt idx="412">22</cx:pt>
          <cx:pt idx="413">21</cx:pt>
          <cx:pt idx="414">21</cx:pt>
          <cx:pt idx="415">22</cx:pt>
          <cx:pt idx="416">22</cx:pt>
          <cx:pt idx="417">37</cx:pt>
          <cx:pt idx="418">27</cx:pt>
          <cx:pt idx="419">28</cx:pt>
          <cx:pt idx="420">26</cx:pt>
          <cx:pt idx="421">21</cx:pt>
          <cx:pt idx="422">21</cx:pt>
          <cx:pt idx="423">21</cx:pt>
          <cx:pt idx="424">36</cx:pt>
          <cx:pt idx="425">31</cx:pt>
          <cx:pt idx="426">25</cx:pt>
          <cx:pt idx="427">38</cx:pt>
          <cx:pt idx="428">26</cx:pt>
          <cx:pt idx="429">43</cx:pt>
          <cx:pt idx="430">23</cx:pt>
          <cx:pt idx="431">38</cx:pt>
          <cx:pt idx="432">22</cx:pt>
          <cx:pt idx="433">29</cx:pt>
          <cx:pt idx="434">36</cx:pt>
          <cx:pt idx="435">29</cx:pt>
          <cx:pt idx="436">41</cx:pt>
          <cx:pt idx="437">28</cx:pt>
          <cx:pt idx="438">21</cx:pt>
          <cx:pt idx="439">31</cx:pt>
          <cx:pt idx="440">41</cx:pt>
          <cx:pt idx="441">22</cx:pt>
          <cx:pt idx="442">24</cx:pt>
          <cx:pt idx="443">33</cx:pt>
          <cx:pt idx="444">30</cx:pt>
          <cx:pt idx="445">25</cx:pt>
          <cx:pt idx="446">28</cx:pt>
          <cx:pt idx="447">26</cx:pt>
          <cx:pt idx="448">22</cx:pt>
          <cx:pt idx="449">26</cx:pt>
          <cx:pt idx="450">23</cx:pt>
          <cx:pt idx="451">23</cx:pt>
          <cx:pt idx="452">25</cx:pt>
          <cx:pt idx="453">72</cx:pt>
          <cx:pt idx="454">24</cx:pt>
          <cx:pt idx="455">38</cx:pt>
          <cx:pt idx="456">62</cx:pt>
          <cx:pt idx="457">24</cx:pt>
          <cx:pt idx="458">51</cx:pt>
          <cx:pt idx="459">81</cx:pt>
          <cx:pt idx="460">48</cx:pt>
          <cx:pt idx="461">26</cx:pt>
          <cx:pt idx="462">39</cx:pt>
          <cx:pt idx="463">37</cx:pt>
          <cx:pt idx="464">34</cx:pt>
          <cx:pt idx="465">21</cx:pt>
          <cx:pt idx="466">22</cx:pt>
          <cx:pt idx="467">25</cx:pt>
          <cx:pt idx="468">38</cx:pt>
          <cx:pt idx="469">27</cx:pt>
          <cx:pt idx="470">28</cx:pt>
          <cx:pt idx="471">22</cx:pt>
          <cx:pt idx="472">22</cx:pt>
          <cx:pt idx="473">50</cx:pt>
          <cx:pt idx="474">24</cx:pt>
          <cx:pt idx="475">59</cx:pt>
          <cx:pt idx="476">29</cx:pt>
          <cx:pt idx="477">31</cx:pt>
          <cx:pt idx="478">39</cx:pt>
          <cx:pt idx="479">63</cx:pt>
          <cx:pt idx="480">35</cx:pt>
          <cx:pt idx="481">29</cx:pt>
          <cx:pt idx="482">28</cx:pt>
          <cx:pt idx="483">23</cx:pt>
          <cx:pt idx="484">31</cx:pt>
          <cx:pt idx="485">24</cx:pt>
          <cx:pt idx="486">21</cx:pt>
          <cx:pt idx="487">58</cx:pt>
          <cx:pt idx="488">28</cx:pt>
          <cx:pt idx="489">67</cx:pt>
          <cx:pt idx="490">24</cx:pt>
          <cx:pt idx="491">42</cx:pt>
          <cx:pt idx="492">33</cx:pt>
          <cx:pt idx="493">45</cx:pt>
          <cx:pt idx="494">22</cx:pt>
          <cx:pt idx="495">66</cx:pt>
          <cx:pt idx="496">30</cx:pt>
          <cx:pt idx="497">25</cx:pt>
          <cx:pt idx="498">55</cx:pt>
          <cx:pt idx="499">39</cx:pt>
          <cx:pt idx="500">21</cx:pt>
          <cx:pt idx="501">28</cx:pt>
          <cx:pt idx="502">41</cx:pt>
          <cx:pt idx="503">41</cx:pt>
          <cx:pt idx="504">40</cx:pt>
          <cx:pt idx="505">38</cx:pt>
          <cx:pt idx="506">35</cx:pt>
          <cx:pt idx="507">21</cx:pt>
          <cx:pt idx="508">21</cx:pt>
          <cx:pt idx="509">64</cx:pt>
          <cx:pt idx="510">46</cx:pt>
          <cx:pt idx="511">21</cx:pt>
          <cx:pt idx="512">58</cx:pt>
          <cx:pt idx="513">22</cx:pt>
          <cx:pt idx="514">24</cx:pt>
          <cx:pt idx="515">28</cx:pt>
          <cx:pt idx="516">53</cx:pt>
          <cx:pt idx="517">51</cx:pt>
          <cx:pt idx="518">41</cx:pt>
          <cx:pt idx="519">60</cx:pt>
          <cx:pt idx="520">25</cx:pt>
          <cx:pt idx="521">26</cx:pt>
          <cx:pt idx="522">26</cx:pt>
          <cx:pt idx="523">45</cx:pt>
          <cx:pt idx="524">24</cx:pt>
          <cx:pt idx="525">21</cx:pt>
          <cx:pt idx="526">21</cx:pt>
          <cx:pt idx="527">24</cx:pt>
          <cx:pt idx="528">22</cx:pt>
          <cx:pt idx="529">31</cx:pt>
          <cx:pt idx="530">22</cx:pt>
          <cx:pt idx="531">24</cx:pt>
          <cx:pt idx="532">29</cx:pt>
          <cx:pt idx="533">31</cx:pt>
          <cx:pt idx="534">24</cx:pt>
          <cx:pt idx="535">23</cx:pt>
          <cx:pt idx="536">46</cx:pt>
          <cx:pt idx="537">67</cx:pt>
          <cx:pt idx="538">23</cx:pt>
          <cx:pt idx="539">32</cx:pt>
          <cx:pt idx="540">43</cx:pt>
          <cx:pt idx="541">27</cx:pt>
          <cx:pt idx="542">56</cx:pt>
          <cx:pt idx="543">25</cx:pt>
          <cx:pt idx="544">29</cx:pt>
          <cx:pt idx="545">37</cx:pt>
          <cx:pt idx="546">53</cx:pt>
          <cx:pt idx="547">28</cx:pt>
          <cx:pt idx="548">50</cx:pt>
          <cx:pt idx="549">37</cx:pt>
          <cx:pt idx="550">21</cx:pt>
          <cx:pt idx="551">25</cx:pt>
          <cx:pt idx="552">66</cx:pt>
          <cx:pt idx="553">23</cx:pt>
          <cx:pt idx="554">28</cx:pt>
          <cx:pt idx="555">37</cx:pt>
          <cx:pt idx="556">30</cx:pt>
          <cx:pt idx="557">58</cx:pt>
          <cx:pt idx="558">42</cx:pt>
          <cx:pt idx="559">35</cx:pt>
          <cx:pt idx="560">54</cx:pt>
          <cx:pt idx="561">28</cx:pt>
          <cx:pt idx="562">24</cx:pt>
          <cx:pt idx="563">32</cx:pt>
          <cx:pt idx="564">27</cx:pt>
          <cx:pt idx="565">22</cx:pt>
          <cx:pt idx="566">21</cx:pt>
          <cx:pt idx="567">46</cx:pt>
          <cx:pt idx="568">37</cx:pt>
          <cx:pt idx="569">33</cx:pt>
          <cx:pt idx="570">39</cx:pt>
          <cx:pt idx="571">21</cx:pt>
          <cx:pt idx="572">22</cx:pt>
          <cx:pt idx="573">22</cx:pt>
          <cx:pt idx="574">23</cx:pt>
          <cx:pt idx="575">25</cx:pt>
          <cx:pt idx="576">35</cx:pt>
          <cx:pt idx="577">21</cx:pt>
          <cx:pt idx="578">36</cx:pt>
          <cx:pt idx="579">62</cx:pt>
          <cx:pt idx="580">21</cx:pt>
          <cx:pt idx="581">27</cx:pt>
          <cx:pt idx="582">62</cx:pt>
          <cx:pt idx="583">42</cx:pt>
          <cx:pt idx="584">52</cx:pt>
          <cx:pt idx="585">22</cx:pt>
          <cx:pt idx="586">41</cx:pt>
          <cx:pt idx="587">29</cx:pt>
          <cx:pt idx="588">52</cx:pt>
          <cx:pt idx="589">25</cx:pt>
          <cx:pt idx="590">45</cx:pt>
          <cx:pt idx="591">24</cx:pt>
          <cx:pt idx="592">44</cx:pt>
          <cx:pt idx="593">25</cx:pt>
          <cx:pt idx="594">34</cx:pt>
          <cx:pt idx="595">22</cx:pt>
          <cx:pt idx="596">46</cx:pt>
          <cx:pt idx="597">21</cx:pt>
          <cx:pt idx="598">38</cx:pt>
          <cx:pt idx="599">26</cx:pt>
          <cx:pt idx="600">24</cx:pt>
          <cx:pt idx="601">28</cx:pt>
          <cx:pt idx="602">30</cx:pt>
          <cx:pt idx="603">54</cx:pt>
          <cx:pt idx="604">36</cx:pt>
          <cx:pt idx="605">21</cx:pt>
          <cx:pt idx="606">22</cx:pt>
          <cx:pt idx="607">25</cx:pt>
          <cx:pt idx="608">27</cx:pt>
          <cx:pt idx="609">23</cx:pt>
          <cx:pt idx="610">24</cx:pt>
          <cx:pt idx="611">36</cx:pt>
          <cx:pt idx="612">40</cx:pt>
          <cx:pt idx="613">26</cx:pt>
          <cx:pt idx="614">50</cx:pt>
          <cx:pt idx="615">27</cx:pt>
          <cx:pt idx="616">30</cx:pt>
          <cx:pt idx="617">23</cx:pt>
          <cx:pt idx="618">50</cx:pt>
          <cx:pt idx="619">24</cx:pt>
          <cx:pt idx="620">28</cx:pt>
          <cx:pt idx="621">28</cx:pt>
          <cx:pt idx="622">45</cx:pt>
          <cx:pt idx="623">21</cx:pt>
          <cx:pt idx="624">21</cx:pt>
          <cx:pt idx="625">29</cx:pt>
          <cx:pt idx="626">21</cx:pt>
          <cx:pt idx="627">21</cx:pt>
          <cx:pt idx="628">45</cx:pt>
          <cx:pt idx="629">21</cx:pt>
          <cx:pt idx="630">34</cx:pt>
          <cx:pt idx="631">24</cx:pt>
          <cx:pt idx="632">23</cx:pt>
          <cx:pt idx="633">22</cx:pt>
          <cx:pt idx="634">31</cx:pt>
          <cx:pt idx="635">38</cx:pt>
          <cx:pt idx="636">48</cx:pt>
          <cx:pt idx="637">23</cx:pt>
          <cx:pt idx="638">32</cx:pt>
          <cx:pt idx="639">28</cx:pt>
          <cx:pt idx="640">27</cx:pt>
          <cx:pt idx="641">24</cx:pt>
          <cx:pt idx="642">50</cx:pt>
          <cx:pt idx="643">31</cx:pt>
          <cx:pt idx="644">27</cx:pt>
          <cx:pt idx="645">30</cx:pt>
          <cx:pt idx="646">33</cx:pt>
          <cx:pt idx="647">22</cx:pt>
          <cx:pt idx="648">42</cx:pt>
          <cx:pt idx="649">23</cx:pt>
          <cx:pt idx="650">23</cx:pt>
          <cx:pt idx="651">27</cx:pt>
          <cx:pt idx="652">28</cx:pt>
          <cx:pt idx="653">27</cx:pt>
          <cx:pt idx="654">22</cx:pt>
          <cx:pt idx="655">25</cx:pt>
          <cx:pt idx="656">22</cx:pt>
          <cx:pt idx="657">41</cx:pt>
          <cx:pt idx="658">51</cx:pt>
          <cx:pt idx="659">27</cx:pt>
          <cx:pt idx="660">54</cx:pt>
          <cx:pt idx="661">22</cx:pt>
          <cx:pt idx="662">43</cx:pt>
          <cx:pt idx="663">40</cx:pt>
          <cx:pt idx="664">40</cx:pt>
          <cx:pt idx="665">24</cx:pt>
          <cx:pt idx="666">70</cx:pt>
          <cx:pt idx="667">40</cx:pt>
          <cx:pt idx="668">43</cx:pt>
          <cx:pt idx="669">45</cx:pt>
          <cx:pt idx="670">49</cx:pt>
          <cx:pt idx="671">21</cx:pt>
          <cx:pt idx="672">47</cx:pt>
          <cx:pt idx="673">22</cx:pt>
          <cx:pt idx="674">68</cx:pt>
          <cx:pt idx="675">31</cx:pt>
          <cx:pt idx="676">53</cx:pt>
          <cx:pt idx="677">25</cx:pt>
          <cx:pt idx="678">25</cx:pt>
          <cx:pt idx="679">23</cx:pt>
          <cx:pt idx="680">22</cx:pt>
          <cx:pt idx="681">26</cx:pt>
          <cx:pt idx="682">22</cx:pt>
          <cx:pt idx="683">27</cx:pt>
          <cx:pt idx="684">69</cx:pt>
          <cx:pt idx="685">25</cx:pt>
          <cx:pt idx="686">22</cx:pt>
          <cx:pt idx="687">29</cx:pt>
          <cx:pt idx="688">23</cx:pt>
          <cx:pt idx="689">46</cx:pt>
          <cx:pt idx="690">34</cx:pt>
          <cx:pt idx="691">44</cx:pt>
          <cx:pt idx="692">23</cx:pt>
          <cx:pt idx="693">43</cx:pt>
          <cx:pt idx="694">25</cx:pt>
          <cx:pt idx="695">43</cx:pt>
          <cx:pt idx="696">31</cx:pt>
          <cx:pt idx="697">22</cx:pt>
          <cx:pt idx="698">28</cx:pt>
          <cx:pt idx="699">26</cx:pt>
          <cx:pt idx="700">26</cx:pt>
          <cx:pt idx="701">49</cx:pt>
          <cx:pt idx="702">52</cx:pt>
          <cx:pt idx="703">41</cx:pt>
          <cx:pt idx="704">27</cx:pt>
          <cx:pt idx="705">28</cx:pt>
          <cx:pt idx="706">30</cx:pt>
          <cx:pt idx="707">22</cx:pt>
          <cx:pt idx="708">45</cx:pt>
          <cx:pt idx="709">23</cx:pt>
          <cx:pt idx="710">24</cx:pt>
          <cx:pt idx="711">40</cx:pt>
          <cx:pt idx="712">38</cx:pt>
          <cx:pt idx="713">21</cx:pt>
          <cx:pt idx="714">32</cx:pt>
          <cx:pt idx="715">34</cx:pt>
          <cx:pt idx="716">31</cx:pt>
          <cx:pt idx="717">56</cx:pt>
          <cx:pt idx="718">24</cx:pt>
          <cx:pt idx="719">52</cx:pt>
          <cx:pt idx="720">34</cx:pt>
          <cx:pt idx="721">21</cx:pt>
          <cx:pt idx="722">42</cx:pt>
          <cx:pt idx="723">42</cx:pt>
          <cx:pt idx="724">45</cx:pt>
          <cx:pt idx="725">38</cx:pt>
          <cx:pt idx="726">25</cx:pt>
          <cx:pt idx="727">22</cx:pt>
          <cx:pt idx="728">22</cx:pt>
          <cx:pt idx="729">22</cx:pt>
          <cx:pt idx="730">34</cx:pt>
          <cx:pt idx="731">22</cx:pt>
          <cx:pt idx="732">24</cx:pt>
          <cx:pt idx="733">22</cx:pt>
          <cx:pt idx="734">53</cx:pt>
          <cx:pt idx="735">28</cx:pt>
          <cx:pt idx="736">21</cx:pt>
          <cx:pt idx="737">42</cx:pt>
          <cx:pt idx="738">21</cx:pt>
          <cx:pt idx="739">42</cx:pt>
          <cx:pt idx="740">48</cx:pt>
          <cx:pt idx="741">26</cx:pt>
          <cx:pt idx="742">22</cx:pt>
          <cx:pt idx="743">45</cx:pt>
          <cx:pt idx="744">39</cx:pt>
          <cx:pt idx="745">46</cx:pt>
          <cx:pt idx="746">27</cx:pt>
          <cx:pt idx="747">32</cx:pt>
          <cx:pt idx="748">36</cx:pt>
          <cx:pt idx="749">50</cx:pt>
          <cx:pt idx="750">22</cx:pt>
          <cx:pt idx="751">28</cx:pt>
          <cx:pt idx="752">25</cx:pt>
          <cx:pt idx="753">26</cx:pt>
          <cx:pt idx="754">45</cx:pt>
          <cx:pt idx="755">37</cx:pt>
          <cx:pt idx="756">39</cx:pt>
          <cx:pt idx="757">52</cx:pt>
          <cx:pt idx="758">26</cx:pt>
          <cx:pt idx="759">66</cx:pt>
          <cx:pt idx="760">22</cx:pt>
          <cx:pt idx="761">43</cx:pt>
          <cx:pt idx="762">33</cx:pt>
          <cx:pt idx="763">63</cx:pt>
          <cx:pt idx="764">27</cx:pt>
          <cx:pt idx="765">30</cx:pt>
          <cx:pt idx="766">47</cx:pt>
          <cx:pt idx="767">23</cx:pt>
        </cx:lvl>
      </cx:numDim>
    </cx:data>
    <cx:data id="1"/>
  </cx:chartData>
  <cx:chart>
    <cx:title pos="t" align="ctr" overlay="0">
      <cx:tx>
        <cx:rich>
          <a:bodyPr spcFirstLastPara="1" vertOverflow="ellipsis" horzOverflow="overflow" wrap="square" lIns="0" tIns="0" rIns="0" bIns="0" anchor="ctr" anchorCtr="1"/>
          <a:lstStyle/>
          <a:p>
            <a:pPr algn="ctr" rtl="0">
              <a:defRPr/>
            </a:pPr>
            <a:r>
              <a:rPr lang="en-US"/>
              <a:t>Distribution of Patients’ Age</a:t>
            </a:r>
            <a:endParaRPr lang="en-US" sz="1400" b="0" i="0" u="none" strike="noStrike" baseline="0">
              <a:solidFill>
                <a:sysClr val="windowText" lastClr="000000">
                  <a:lumMod val="65000"/>
                  <a:lumOff val="35000"/>
                </a:sysClr>
              </a:solidFill>
              <a:latin typeface="Aptos Narrow" panose="02110004020202020204"/>
            </a:endParaRPr>
          </a:p>
        </cx:rich>
      </cx:tx>
    </cx:title>
    <cx:plotArea>
      <cx:plotAreaRegion>
        <cx:series layoutId="clusteredColumn" uniqueId="{88F488B2-6092-4085-912C-34A93D526140}" formatIdx="0">
          <cx:dataId val="0"/>
          <cx:layoutPr>
            <cx:binning intervalClosed="r">
              <cx:binSize val="5"/>
            </cx:binning>
          </cx:layoutPr>
        </cx:series>
        <cx:series layoutId="clusteredColumn" hidden="1" uniqueId="{00000002-91B3-46E9-BE8B-CFE22F0975C4}" formatIdx="0">
          <cx:tx>
            <cx:txData>
              <cx:f/>
              <cx:v>Mean</cx:v>
            </cx:txData>
          </cx:tx>
          <cx:dataId val="1"/>
          <cx:layoutPr>
            <cx:binning intervalClosed="r"/>
          </cx:layoutPr>
        </cx:series>
      </cx:plotAreaRegion>
      <cx:axis id="0">
        <cx:catScaling gapWidth="0"/>
        <cx:title>
          <cx:tx>
            <cx:txData>
              <cx:v>Age (Years)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Age (Years)</a:t>
              </a:r>
            </a:p>
          </cx:txPr>
        </cx:title>
        <cx:tickLabels/>
      </cx:axis>
      <cx:axis id="1">
        <cx:valScaling/>
        <cx:title>
          <cx:tx>
            <cx:txData>
              <cx:v>Number of patients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Number of patients</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ANSARIESFAD</dc:creator>
  <cp:keywords/>
  <dc:description/>
  <cp:lastModifiedBy>AMIRHOSSEIN ANSARIESFAD</cp:lastModifiedBy>
  <cp:revision>30</cp:revision>
  <dcterms:created xsi:type="dcterms:W3CDTF">2025-10-28T10:12:00Z</dcterms:created>
  <dcterms:modified xsi:type="dcterms:W3CDTF">2025-10-28T10:39:00Z</dcterms:modified>
</cp:coreProperties>
</file>