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09E" w:rsidRPr="00B6709E" w:rsidRDefault="00B6709E" w:rsidP="00B6709E">
      <w:pPr>
        <w:spacing w:after="160"/>
        <w:ind w:left="720"/>
        <w:jc w:val="center"/>
        <w:rPr>
          <w:sz w:val="36"/>
          <w:u w:val="single"/>
        </w:rPr>
      </w:pPr>
      <w:r w:rsidRPr="00B6709E">
        <w:rPr>
          <w:sz w:val="36"/>
          <w:u w:val="single"/>
        </w:rPr>
        <w:t xml:space="preserve">- </w:t>
      </w:r>
      <w:r w:rsidRPr="00B6709E">
        <w:rPr>
          <w:sz w:val="36"/>
          <w:u w:val="single"/>
        </w:rPr>
        <w:t>OrnithoAI -</w:t>
      </w:r>
    </w:p>
    <w:p w:rsidR="00B6709E" w:rsidRPr="00B6709E" w:rsidRDefault="00B6709E" w:rsidP="00B6709E">
      <w:pPr>
        <w:spacing w:after="160"/>
        <w:jc w:val="center"/>
        <w:rPr>
          <w:sz w:val="36"/>
        </w:rPr>
      </w:pPr>
      <w:r w:rsidRPr="00B6709E">
        <w:rPr>
          <w:b/>
          <w:bCs/>
          <w:sz w:val="36"/>
        </w:rPr>
        <w:t>Primjena dubokog učenja za klasifikaciju vrsta ptica na osnovu audio snimaka</w:t>
      </w:r>
    </w:p>
    <w:p w:rsidR="002645BE" w:rsidRDefault="00B6709E">
      <w:pPr>
        <w:pStyle w:val="Heading1"/>
      </w:pPr>
      <w:r>
        <w:t>1. Definicija problema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sz w:val="24"/>
        </w:rPr>
        <w:t xml:space="preserve">Cilj projekta je da se iz audio snimka automatski odredi </w:t>
      </w:r>
      <w:r w:rsidRPr="00B6709E">
        <w:rPr>
          <w:b/>
          <w:bCs/>
          <w:sz w:val="24"/>
        </w:rPr>
        <w:t>koje vrste ptica se u njemu čuju</w:t>
      </w:r>
      <w:r w:rsidRPr="00B6709E">
        <w:rPr>
          <w:sz w:val="24"/>
        </w:rPr>
        <w:t>.</w:t>
      </w:r>
    </w:p>
    <w:p w:rsidR="002645BE" w:rsidRPr="00B6709E" w:rsidRDefault="00B6709E">
      <w:pPr>
        <w:pStyle w:val="ListParagraph"/>
        <w:numPr>
          <w:ilvl w:val="0"/>
          <w:numId w:val="2"/>
        </w:numPr>
        <w:spacing w:after="80"/>
        <w:rPr>
          <w:sz w:val="24"/>
        </w:rPr>
      </w:pPr>
      <w:r w:rsidRPr="00B6709E">
        <w:rPr>
          <w:b/>
          <w:bCs/>
          <w:sz w:val="24"/>
        </w:rPr>
        <w:t>Ulaz:</w:t>
      </w:r>
      <w:r w:rsidRPr="00B6709E">
        <w:rPr>
          <w:sz w:val="24"/>
        </w:rPr>
        <w:t xml:space="preserve"> audio snimak podijeljen na segmente fiksne dužine (5 sekundi).</w:t>
      </w:r>
    </w:p>
    <w:p w:rsidR="002645BE" w:rsidRPr="00B6709E" w:rsidRDefault="00B6709E">
      <w:pPr>
        <w:pStyle w:val="ListParagraph"/>
        <w:numPr>
          <w:ilvl w:val="0"/>
          <w:numId w:val="2"/>
        </w:numPr>
        <w:spacing w:after="80"/>
        <w:rPr>
          <w:sz w:val="24"/>
        </w:rPr>
      </w:pPr>
      <w:r w:rsidRPr="00B6709E">
        <w:rPr>
          <w:b/>
          <w:bCs/>
          <w:sz w:val="24"/>
        </w:rPr>
        <w:t>Izlaz:</w:t>
      </w:r>
      <w:r w:rsidRPr="00B6709E">
        <w:rPr>
          <w:sz w:val="24"/>
        </w:rPr>
        <w:t xml:space="preserve"> za svaki segment, vjerovatnoća prisustva svake cilj</w:t>
      </w:r>
      <w:bookmarkStart w:id="0" w:name="_GoBack"/>
      <w:bookmarkEnd w:id="0"/>
      <w:r w:rsidRPr="00B6709E">
        <w:rPr>
          <w:sz w:val="24"/>
        </w:rPr>
        <w:t>ne vrste. Isti segment može sadržavati više vrsta istovremeno, pa se radi o višeoznačnoj (multi-label) klasifikaciji.</w:t>
      </w:r>
    </w:p>
    <w:p w:rsidR="002645BE" w:rsidRPr="00B6709E" w:rsidRDefault="00B6709E">
      <w:pPr>
        <w:pStyle w:val="ListParagraph"/>
        <w:numPr>
          <w:ilvl w:val="0"/>
          <w:numId w:val="2"/>
        </w:numPr>
        <w:spacing w:after="80"/>
        <w:rPr>
          <w:sz w:val="24"/>
        </w:rPr>
      </w:pPr>
      <w:r w:rsidRPr="00B6709E">
        <w:rPr>
          <w:b/>
          <w:bCs/>
          <w:sz w:val="24"/>
        </w:rPr>
        <w:t>Mjera uspjeha:</w:t>
      </w:r>
      <w:r w:rsidRPr="00B6709E">
        <w:rPr>
          <w:sz w:val="24"/>
        </w:rPr>
        <w:t xml:space="preserve"> m</w:t>
      </w:r>
      <w:r w:rsidRPr="00B6709E">
        <w:rPr>
          <w:sz w:val="24"/>
        </w:rPr>
        <w:t>akro-usrednjeni ROC-AUC preko svih vrsta, što je i metrika korištena na BirdCLEF+ 2026 takmičenju [4]. Makro-usrednjavanje svakoj vrsti daje jednak značaj, pa model ne može biti dobar samo na čestim vrstama.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sz w:val="24"/>
        </w:rPr>
        <w:t>Zadatak je težak iz nekoliko razloga: terenski s</w:t>
      </w:r>
      <w:r w:rsidRPr="00B6709E">
        <w:rPr>
          <w:sz w:val="24"/>
        </w:rPr>
        <w:t>nimci sadrže šum (vjetar, kiša, saobraćaj), vrste se preklapaju u istom trenutku, za mnoge vrste postoji vrlo malo označenih primjera, a modeli trenirani u jednoj regiji slabije rade u drugoj (pomak domene) [4, 7].</w:t>
      </w:r>
    </w:p>
    <w:p w:rsidR="002645BE" w:rsidRDefault="00B6709E">
      <w:pPr>
        <w:pStyle w:val="Heading1"/>
      </w:pPr>
      <w:r>
        <w:t>2. Relevantnost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b/>
          <w:bCs/>
          <w:sz w:val="24"/>
        </w:rPr>
        <w:t>Zaštita prirode.</w:t>
      </w:r>
      <w:r w:rsidRPr="00B6709E">
        <w:rPr>
          <w:sz w:val="24"/>
        </w:rPr>
        <w:t xml:space="preserve"> Brojnost</w:t>
      </w:r>
      <w:r w:rsidRPr="00B6709E">
        <w:rPr>
          <w:sz w:val="24"/>
        </w:rPr>
        <w:t xml:space="preserve"> ptica opada: procjena za Sjevernu Ameriku pokazuje neto gubitak od oko 2,9 milijardi ptica (oko 29 % brojnosti iz 1970.) [1]. Da bi se takvi trendovi pratili, potrebne su metode koje rade na velikoj skali.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b/>
          <w:bCs/>
          <w:sz w:val="24"/>
        </w:rPr>
        <w:t>Pasivni akustički monitoring.</w:t>
      </w:r>
      <w:r w:rsidRPr="00B6709E">
        <w:rPr>
          <w:sz w:val="24"/>
        </w:rPr>
        <w:t xml:space="preserve"> Autonomni snimači m</w:t>
      </w:r>
      <w:r w:rsidRPr="00B6709E">
        <w:rPr>
          <w:sz w:val="24"/>
        </w:rPr>
        <w:t>ogu danima i mjesecima neprekidno bilježiti zvuk staništa, ali nastaje više podataka nego što ih ljudi mogu preslušati [3]. Automatsko prepoznavanje vrsta čini takve snimke upotrebljivim za praćenje biodiverziteta.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b/>
          <w:bCs/>
          <w:sz w:val="24"/>
        </w:rPr>
        <w:t>Zrelost metoda.</w:t>
      </w:r>
      <w:r w:rsidRPr="00B6709E">
        <w:rPr>
          <w:sz w:val="24"/>
        </w:rPr>
        <w:t xml:space="preserve"> Duboko učenje je danas st</w:t>
      </w:r>
      <w:r w:rsidRPr="00B6709E">
        <w:rPr>
          <w:sz w:val="24"/>
        </w:rPr>
        <w:t>andardni pristup u bioakustici [2]. Gotovi sistemi i modeli, poput BirdNET-a [5] i Perch 2.0 [8], dostupni su za ponovnu upotrebu, a transfer learning se pokazao posebno korisnim kad je označenih podataka malo [6, 7].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b/>
          <w:bCs/>
          <w:sz w:val="24"/>
        </w:rPr>
        <w:t>Lokalna primjena.</w:t>
      </w:r>
      <w:r w:rsidRPr="00B6709E">
        <w:rPr>
          <w:sz w:val="24"/>
        </w:rPr>
        <w:t xml:space="preserve"> Postojeći alati i sk</w:t>
      </w:r>
      <w:r w:rsidRPr="00B6709E">
        <w:rPr>
          <w:sz w:val="24"/>
        </w:rPr>
        <w:t>upovi podataka većinom dolaze iz drugih regija, a za Bosnu i Hercegovinu nema provjere koliko dobro rade. Ovaj projekt to testira na snimcima iz naše okoline.</w:t>
      </w:r>
    </w:p>
    <w:p w:rsidR="002645BE" w:rsidRDefault="00B6709E">
      <w:pPr>
        <w:pStyle w:val="Heading1"/>
      </w:pPr>
      <w:r>
        <w:t>3. Podaci i planirani pristup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b/>
          <w:bCs/>
          <w:sz w:val="24"/>
        </w:rPr>
        <w:t>Dataset:</w:t>
      </w:r>
      <w:r w:rsidRPr="00B6709E">
        <w:rPr>
          <w:sz w:val="24"/>
        </w:rPr>
        <w:t xml:space="preserve"> BirdCLEF+ 2026 (Kaggle) (https://www.kaggle.com/c/birdclef</w:t>
      </w:r>
      <w:r w:rsidRPr="00B6709E">
        <w:rPr>
          <w:sz w:val="24"/>
        </w:rPr>
        <w:t>-2026). Prema pregledu takmičenja [4], skup obuhvata brazilski Pantanal i 234 ciljne vrste, od kojih su 162 ptice (ostalo su vodozemci, insekti, sisari i jedan gmaz). Sadrži oko 35 hiljada kratkih snimaka pojedinačnih vrsta (iz Xeno-canto i iNaturalist baz</w:t>
      </w:r>
      <w:r w:rsidRPr="00B6709E">
        <w:rPr>
          <w:sz w:val="24"/>
        </w:rPr>
        <w:t>a [9]) i označene terenske snimke s pasivnih snimača. Za potrebe ovog projekta fokusiramo se na ptice.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b/>
          <w:bCs/>
          <w:sz w:val="24"/>
        </w:rPr>
        <w:t>Pristup:</w:t>
      </w:r>
      <w:r w:rsidRPr="00B6709E">
        <w:rPr>
          <w:sz w:val="24"/>
        </w:rPr>
        <w:t xml:space="preserve"> transfer learning s postojećih modela umjesto treniranja od nule. Razmatramo BirdNET [5], Perch 2.0 [8], PANNs [10] i Audio Spectrogram Transfor</w:t>
      </w:r>
      <w:r w:rsidRPr="00B6709E">
        <w:rPr>
          <w:sz w:val="24"/>
        </w:rPr>
        <w:t>mer [11], uz fine-tuning na BirdCLEF+ podacima [6, 7].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b/>
          <w:bCs/>
          <w:sz w:val="24"/>
        </w:rPr>
        <w:t>Provjera na pticama iz BiH:</w:t>
      </w:r>
      <w:r w:rsidRPr="00B6709E">
        <w:rPr>
          <w:sz w:val="24"/>
        </w:rPr>
        <w:t xml:space="preserve"> snimit ćemo nekoliko ptičjih glasova iz svoje okoline i provjeriti tačnost i primjenjivost modela u lokalnim uslovima (snimci s telefona, šum okoline, vrste koje žive kod na</w:t>
      </w:r>
      <w:r w:rsidRPr="00B6709E">
        <w:rPr>
          <w:sz w:val="24"/>
        </w:rPr>
        <w:t>s).</w:t>
      </w:r>
    </w:p>
    <w:p w:rsidR="002645BE" w:rsidRPr="00B6709E" w:rsidRDefault="00B6709E">
      <w:pPr>
        <w:spacing w:after="160"/>
        <w:rPr>
          <w:sz w:val="24"/>
        </w:rPr>
      </w:pPr>
      <w:r w:rsidRPr="00B6709E">
        <w:rPr>
          <w:b/>
          <w:bCs/>
          <w:sz w:val="24"/>
        </w:rPr>
        <w:lastRenderedPageBreak/>
        <w:t>Ograničenje koje treba imati na umu:</w:t>
      </w:r>
      <w:r w:rsidRPr="00B6709E">
        <w:rPr>
          <w:sz w:val="24"/>
        </w:rPr>
        <w:t xml:space="preserve"> Pantanal je neotropsko stanište, pa se većina njegovih vrsta ne preklapa s vrstama u BiH. Model fine-tuniran samo na BirdCLEF+ 2026 neće znati imenovati naše vrste. Zato će snimci iz BiH služiti kao test robusnosti </w:t>
      </w:r>
      <w:r w:rsidRPr="00B6709E">
        <w:rPr>
          <w:sz w:val="24"/>
        </w:rPr>
        <w:t>i primjenjivosti (pomak domene), a za prepoznavanje domaćih vrsta koristit ćemo i modele koji već pokrivaju evropske vrste, poput BirdNET-a i Perch-a.</w:t>
      </w:r>
    </w:p>
    <w:p w:rsidR="002645BE" w:rsidRDefault="00B6709E">
      <w:pPr>
        <w:pStyle w:val="Heading1"/>
      </w:pPr>
      <w:r>
        <w:t>4. Izvori i literatura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[1] Rosenberg, K. V., Dokter, A. M., Blancher, P. J., et al. (2019). </w:t>
      </w:r>
      <w:r w:rsidRPr="00B6709E">
        <w:rPr>
          <w:i/>
          <w:iCs/>
          <w:sz w:val="24"/>
          <w:szCs w:val="24"/>
        </w:rPr>
        <w:t>Decline of th</w:t>
      </w:r>
      <w:r w:rsidRPr="00B6709E">
        <w:rPr>
          <w:i/>
          <w:iCs/>
          <w:sz w:val="24"/>
          <w:szCs w:val="24"/>
        </w:rPr>
        <w:t>e North American avifauna.</w:t>
      </w:r>
      <w:r w:rsidRPr="00B6709E">
        <w:rPr>
          <w:sz w:val="24"/>
          <w:szCs w:val="24"/>
        </w:rPr>
        <w:t xml:space="preserve"> </w:t>
      </w:r>
      <w:r w:rsidRPr="00B6709E">
        <w:rPr>
          <w:b/>
          <w:bCs/>
          <w:sz w:val="24"/>
          <w:szCs w:val="24"/>
        </w:rPr>
        <w:t>Science</w:t>
      </w:r>
      <w:r w:rsidRPr="00B6709E">
        <w:rPr>
          <w:sz w:val="24"/>
          <w:szCs w:val="24"/>
        </w:rPr>
        <w:t>, 366(6461), 120-124. https://doi.org/10.1126/science.aaw1313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[2] Stowell, D. (2022). </w:t>
      </w:r>
      <w:r w:rsidRPr="00B6709E">
        <w:rPr>
          <w:i/>
          <w:iCs/>
          <w:sz w:val="24"/>
          <w:szCs w:val="24"/>
        </w:rPr>
        <w:t>Computational bioacoustics with deep learning: a review and roadmap.</w:t>
      </w:r>
      <w:r w:rsidRPr="00B6709E">
        <w:rPr>
          <w:sz w:val="24"/>
          <w:szCs w:val="24"/>
        </w:rPr>
        <w:t xml:space="preserve"> </w:t>
      </w:r>
      <w:r w:rsidRPr="00B6709E">
        <w:rPr>
          <w:b/>
          <w:bCs/>
          <w:sz w:val="24"/>
          <w:szCs w:val="24"/>
        </w:rPr>
        <w:t>PeerJ</w:t>
      </w:r>
      <w:r w:rsidRPr="00B6709E">
        <w:rPr>
          <w:sz w:val="24"/>
          <w:szCs w:val="24"/>
        </w:rPr>
        <w:t>, 10, e13152. https://doi.org/10.7717/peerj.13152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>[3] Kahl, S.</w:t>
      </w:r>
      <w:r w:rsidRPr="00B6709E">
        <w:rPr>
          <w:sz w:val="24"/>
          <w:szCs w:val="24"/>
        </w:rPr>
        <w:t xml:space="preserve">, Denton, T., Klinck, H., et al. (2023). </w:t>
      </w:r>
      <w:r w:rsidRPr="00B6709E">
        <w:rPr>
          <w:i/>
          <w:iCs/>
          <w:sz w:val="24"/>
          <w:szCs w:val="24"/>
        </w:rPr>
        <w:t>Overview of BirdCLEF 2023: Automated bird species identification in Eastern Africa.</w:t>
      </w:r>
      <w:r w:rsidRPr="00B6709E">
        <w:rPr>
          <w:sz w:val="24"/>
          <w:szCs w:val="24"/>
        </w:rPr>
        <w:t xml:space="preserve"> CEUR Workshop Proceedings. https://hal.inrae.fr/hal-04345437/document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[4] Kahl, S., Denton, T., Sugai, L. S. M., et al. (2026). </w:t>
      </w:r>
      <w:r w:rsidRPr="00B6709E">
        <w:rPr>
          <w:i/>
          <w:iCs/>
          <w:sz w:val="24"/>
          <w:szCs w:val="24"/>
        </w:rPr>
        <w:t>Ove</w:t>
      </w:r>
      <w:r w:rsidRPr="00B6709E">
        <w:rPr>
          <w:i/>
          <w:iCs/>
          <w:sz w:val="24"/>
          <w:szCs w:val="24"/>
        </w:rPr>
        <w:t>rview of BirdCLEF+ 2026: Acoustic species identification in the Pantanal, South America.</w:t>
      </w:r>
      <w:r w:rsidRPr="00B6709E">
        <w:rPr>
          <w:sz w:val="24"/>
          <w:szCs w:val="24"/>
        </w:rPr>
        <w:t xml:space="preserve"> CEUR Workshop Proceedings, Vol. 4283. https://ceur-ws.org/Vol-4283/paper317.pdf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[5] Kahl, S., Wood, C. M., Eibl, M., Klinck, H. (2021). </w:t>
      </w:r>
      <w:r w:rsidRPr="00B6709E">
        <w:rPr>
          <w:i/>
          <w:iCs/>
          <w:sz w:val="24"/>
          <w:szCs w:val="24"/>
        </w:rPr>
        <w:t>BirdNET: A deep learning soluti</w:t>
      </w:r>
      <w:r w:rsidRPr="00B6709E">
        <w:rPr>
          <w:i/>
          <w:iCs/>
          <w:sz w:val="24"/>
          <w:szCs w:val="24"/>
        </w:rPr>
        <w:t>on for avian diversity monitoring.</w:t>
      </w:r>
      <w:r w:rsidRPr="00B6709E">
        <w:rPr>
          <w:sz w:val="24"/>
          <w:szCs w:val="24"/>
        </w:rPr>
        <w:t xml:space="preserve"> </w:t>
      </w:r>
      <w:r w:rsidRPr="00B6709E">
        <w:rPr>
          <w:b/>
          <w:bCs/>
          <w:sz w:val="24"/>
          <w:szCs w:val="24"/>
        </w:rPr>
        <w:t>Ecological Informatics</w:t>
      </w:r>
      <w:r w:rsidRPr="00B6709E">
        <w:rPr>
          <w:sz w:val="24"/>
          <w:szCs w:val="24"/>
        </w:rPr>
        <w:t>, 61, 101236. https://doi.org/10.1016/j.ecoinf.2021.101236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[6] Ghani, B., Denton, T., Kahl, S., Klinck, H. (2023). </w:t>
      </w:r>
      <w:r w:rsidRPr="00B6709E">
        <w:rPr>
          <w:i/>
          <w:iCs/>
          <w:sz w:val="24"/>
          <w:szCs w:val="24"/>
        </w:rPr>
        <w:t>Global birdsong embeddings enable superior transfer learning for bioacoustic classif</w:t>
      </w:r>
      <w:r w:rsidRPr="00B6709E">
        <w:rPr>
          <w:i/>
          <w:iCs/>
          <w:sz w:val="24"/>
          <w:szCs w:val="24"/>
        </w:rPr>
        <w:t>ication.</w:t>
      </w:r>
      <w:r w:rsidRPr="00B6709E">
        <w:rPr>
          <w:sz w:val="24"/>
          <w:szCs w:val="24"/>
        </w:rPr>
        <w:t xml:space="preserve"> </w:t>
      </w:r>
      <w:r w:rsidRPr="00B6709E">
        <w:rPr>
          <w:b/>
          <w:bCs/>
          <w:sz w:val="24"/>
          <w:szCs w:val="24"/>
        </w:rPr>
        <w:t>Scientific Reports</w:t>
      </w:r>
      <w:r w:rsidRPr="00B6709E">
        <w:rPr>
          <w:sz w:val="24"/>
          <w:szCs w:val="24"/>
        </w:rPr>
        <w:t>, 13, 22876. https://doi.org/10.1038/s41598-023-49989-z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[7] Ghani, B., Kalkman, V., Planqué, B., Vellinga, W.-P., Gill, L., Stowell, D. (2025). </w:t>
      </w:r>
      <w:r w:rsidRPr="00B6709E">
        <w:rPr>
          <w:i/>
          <w:iCs/>
          <w:sz w:val="24"/>
          <w:szCs w:val="24"/>
        </w:rPr>
        <w:t xml:space="preserve">Impact of transfer learning methods and dataset characteristics on generalization in </w:t>
      </w:r>
      <w:r w:rsidRPr="00B6709E">
        <w:rPr>
          <w:i/>
          <w:iCs/>
          <w:sz w:val="24"/>
          <w:szCs w:val="24"/>
        </w:rPr>
        <w:t>birdsong classification.</w:t>
      </w:r>
      <w:r w:rsidRPr="00B6709E">
        <w:rPr>
          <w:sz w:val="24"/>
          <w:szCs w:val="24"/>
        </w:rPr>
        <w:t xml:space="preserve"> </w:t>
      </w:r>
      <w:r w:rsidRPr="00B6709E">
        <w:rPr>
          <w:b/>
          <w:bCs/>
          <w:sz w:val="24"/>
          <w:szCs w:val="24"/>
        </w:rPr>
        <w:t>Scientific Reports</w:t>
      </w:r>
      <w:r w:rsidRPr="00B6709E">
        <w:rPr>
          <w:sz w:val="24"/>
          <w:szCs w:val="24"/>
        </w:rPr>
        <w:t>, 15, 16273. https://doi.org/10.1038/s41598-025-00996-2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[8] van Merriënboer, B., Dumoulin, V., Hamer, J., Harrell, L., Burns, A., Denton, T. (2025). </w:t>
      </w:r>
      <w:r w:rsidRPr="00B6709E">
        <w:rPr>
          <w:i/>
          <w:iCs/>
          <w:sz w:val="24"/>
          <w:szCs w:val="24"/>
        </w:rPr>
        <w:t>Perch 2.0: The Bittern Lesson for Bioacoustics.</w:t>
      </w:r>
      <w:r w:rsidRPr="00B6709E">
        <w:rPr>
          <w:sz w:val="24"/>
          <w:szCs w:val="24"/>
        </w:rPr>
        <w:t xml:space="preserve"> arXiv:2508.04665</w:t>
      </w:r>
      <w:r w:rsidRPr="00B6709E">
        <w:rPr>
          <w:sz w:val="24"/>
          <w:szCs w:val="24"/>
        </w:rPr>
        <w:t>. https://arxiv.org/abs/2508.04665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[9] Vellinga, W.-P., Planqué, R. (2015). </w:t>
      </w:r>
      <w:r w:rsidRPr="00B6709E">
        <w:rPr>
          <w:i/>
          <w:iCs/>
          <w:sz w:val="24"/>
          <w:szCs w:val="24"/>
        </w:rPr>
        <w:t>The Xeno-canto collection and its relation to sound recognition and classification.</w:t>
      </w:r>
      <w:r w:rsidRPr="00B6709E">
        <w:rPr>
          <w:sz w:val="24"/>
          <w:szCs w:val="24"/>
        </w:rPr>
        <w:t xml:space="preserve"> CEUR Workshop Proceedings, Vol. 1391. https://ceur-ws.org/Vol-1391/166-CR.pdf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[10] Kong, Q., Cao, Y., Iqbal, T., Wang, Y., Wang, W., Plumbley, M. D. (2020). </w:t>
      </w:r>
      <w:r w:rsidRPr="00B6709E">
        <w:rPr>
          <w:i/>
          <w:iCs/>
          <w:sz w:val="24"/>
          <w:szCs w:val="24"/>
        </w:rPr>
        <w:t>PANNs: Large-scale pretrained audio neural networks for audio pattern recognition.</w:t>
      </w:r>
      <w:r w:rsidRPr="00B6709E">
        <w:rPr>
          <w:sz w:val="24"/>
          <w:szCs w:val="24"/>
        </w:rPr>
        <w:t xml:space="preserve"> </w:t>
      </w:r>
      <w:r w:rsidRPr="00B6709E">
        <w:rPr>
          <w:b/>
          <w:bCs/>
          <w:sz w:val="24"/>
          <w:szCs w:val="24"/>
        </w:rPr>
        <w:t>IEEE/ACM Transactions on Audio, Speech, and Language Processing</w:t>
      </w:r>
      <w:r w:rsidRPr="00B6709E">
        <w:rPr>
          <w:sz w:val="24"/>
          <w:szCs w:val="24"/>
        </w:rPr>
        <w:t>, 28, 2880-2894. https://doi.or</w:t>
      </w:r>
      <w:r w:rsidRPr="00B6709E">
        <w:rPr>
          <w:sz w:val="24"/>
          <w:szCs w:val="24"/>
        </w:rPr>
        <w:t>g/10.1109/TASLP.2020.3030497</w:t>
      </w:r>
    </w:p>
    <w:p w:rsidR="002645BE" w:rsidRPr="00B6709E" w:rsidRDefault="00B6709E">
      <w:pPr>
        <w:spacing w:after="160"/>
        <w:rPr>
          <w:sz w:val="24"/>
          <w:szCs w:val="24"/>
        </w:rPr>
      </w:pPr>
      <w:r w:rsidRPr="00B6709E">
        <w:rPr>
          <w:sz w:val="24"/>
          <w:szCs w:val="24"/>
        </w:rPr>
        <w:t xml:space="preserve">[11] Gong, Y., Chung, Y.-A., Glass, J. (2021). </w:t>
      </w:r>
      <w:r w:rsidRPr="00B6709E">
        <w:rPr>
          <w:i/>
          <w:iCs/>
          <w:sz w:val="24"/>
          <w:szCs w:val="24"/>
        </w:rPr>
        <w:t>AST: Audio Spectrogram Transformer.</w:t>
      </w:r>
      <w:r w:rsidRPr="00B6709E">
        <w:rPr>
          <w:sz w:val="24"/>
          <w:szCs w:val="24"/>
        </w:rPr>
        <w:t xml:space="preserve"> </w:t>
      </w:r>
      <w:r w:rsidRPr="00B6709E">
        <w:rPr>
          <w:b/>
          <w:bCs/>
          <w:sz w:val="24"/>
          <w:szCs w:val="24"/>
        </w:rPr>
        <w:t>Proc. Interspeech 2021</w:t>
      </w:r>
      <w:r w:rsidRPr="00B6709E">
        <w:rPr>
          <w:sz w:val="24"/>
          <w:szCs w:val="24"/>
        </w:rPr>
        <w:t>, 571-575. https://doi.org/10.21437/Interspeech.2021-698</w:t>
      </w:r>
    </w:p>
    <w:sectPr w:rsidR="002645BE" w:rsidRPr="00B670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D22497"/>
    <w:multiLevelType w:val="hybridMultilevel"/>
    <w:tmpl w:val="DE54D48E"/>
    <w:lvl w:ilvl="0" w:tplc="FDF8BB80" w:tentative="1">
      <w:start w:val="1"/>
      <w:numFmt w:val="bullet"/>
      <w:lvlText w:val="●"/>
      <w:lvlJc w:val="left"/>
      <w:pPr>
        <w:ind w:left="720" w:hanging="360"/>
      </w:pPr>
    </w:lvl>
    <w:lvl w:ilvl="1" w:tplc="AC6E9D74" w:tentative="1">
      <w:start w:val="1"/>
      <w:numFmt w:val="bullet"/>
      <w:lvlText w:val="○"/>
      <w:lvlJc w:val="left"/>
      <w:pPr>
        <w:ind w:left="1440" w:hanging="360"/>
      </w:pPr>
    </w:lvl>
    <w:lvl w:ilvl="2" w:tplc="176840D8" w:tentative="1">
      <w:start w:val="1"/>
      <w:numFmt w:val="bullet"/>
      <w:lvlText w:val="■"/>
      <w:lvlJc w:val="left"/>
      <w:pPr>
        <w:ind w:left="2160" w:hanging="360"/>
      </w:pPr>
    </w:lvl>
    <w:lvl w:ilvl="3" w:tplc="28EE972E" w:tentative="1">
      <w:start w:val="1"/>
      <w:numFmt w:val="bullet"/>
      <w:lvlText w:val="●"/>
      <w:lvlJc w:val="left"/>
      <w:pPr>
        <w:ind w:left="2880" w:hanging="360"/>
      </w:pPr>
    </w:lvl>
    <w:lvl w:ilvl="4" w:tplc="30A20BB0" w:tentative="1">
      <w:start w:val="1"/>
      <w:numFmt w:val="bullet"/>
      <w:lvlText w:val="○"/>
      <w:lvlJc w:val="left"/>
      <w:pPr>
        <w:ind w:left="3600" w:hanging="360"/>
      </w:pPr>
    </w:lvl>
    <w:lvl w:ilvl="5" w:tplc="A0C074BE" w:tentative="1">
      <w:start w:val="1"/>
      <w:numFmt w:val="bullet"/>
      <w:lvlText w:val="■"/>
      <w:lvlJc w:val="left"/>
      <w:pPr>
        <w:ind w:left="4320" w:hanging="360"/>
      </w:pPr>
    </w:lvl>
    <w:lvl w:ilvl="6" w:tplc="3A66BA92" w:tentative="1">
      <w:start w:val="1"/>
      <w:numFmt w:val="bullet"/>
      <w:lvlText w:val="●"/>
      <w:lvlJc w:val="left"/>
      <w:pPr>
        <w:ind w:left="5040" w:hanging="360"/>
      </w:pPr>
    </w:lvl>
    <w:lvl w:ilvl="7" w:tplc="1C240C32" w:tentative="1">
      <w:start w:val="1"/>
      <w:numFmt w:val="bullet"/>
      <w:lvlText w:val="●"/>
      <w:lvlJc w:val="left"/>
      <w:pPr>
        <w:ind w:left="5760" w:hanging="360"/>
      </w:pPr>
    </w:lvl>
    <w:lvl w:ilvl="8" w:tplc="5604454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F70BC7"/>
    <w:multiLevelType w:val="hybridMultilevel"/>
    <w:tmpl w:val="07FE1A2A"/>
    <w:lvl w:ilvl="0" w:tplc="328ECB92">
      <w:start w:val="1"/>
      <w:numFmt w:val="bullet"/>
      <w:lvlText w:val="•"/>
      <w:lvlJc w:val="left"/>
      <w:pPr>
        <w:ind w:left="720" w:hanging="360"/>
      </w:pPr>
    </w:lvl>
    <w:lvl w:ilvl="1" w:tplc="5AD07414">
      <w:numFmt w:val="decimal"/>
      <w:lvlText w:val=""/>
      <w:lvlJc w:val="left"/>
    </w:lvl>
    <w:lvl w:ilvl="2" w:tplc="99EA514C">
      <w:numFmt w:val="decimal"/>
      <w:lvlText w:val=""/>
      <w:lvlJc w:val="left"/>
    </w:lvl>
    <w:lvl w:ilvl="3" w:tplc="44561410">
      <w:numFmt w:val="decimal"/>
      <w:lvlText w:val=""/>
      <w:lvlJc w:val="left"/>
    </w:lvl>
    <w:lvl w:ilvl="4" w:tplc="E9305E98">
      <w:numFmt w:val="decimal"/>
      <w:lvlText w:val=""/>
      <w:lvlJc w:val="left"/>
    </w:lvl>
    <w:lvl w:ilvl="5" w:tplc="4A7CE50A">
      <w:numFmt w:val="decimal"/>
      <w:lvlText w:val=""/>
      <w:lvlJc w:val="left"/>
    </w:lvl>
    <w:lvl w:ilvl="6" w:tplc="2EEC8A8A">
      <w:numFmt w:val="decimal"/>
      <w:lvlText w:val=""/>
      <w:lvlJc w:val="left"/>
    </w:lvl>
    <w:lvl w:ilvl="7" w:tplc="3CC4A9A2">
      <w:numFmt w:val="decimal"/>
      <w:lvlText w:val=""/>
      <w:lvlJc w:val="left"/>
    </w:lvl>
    <w:lvl w:ilvl="8" w:tplc="4E628170">
      <w:numFmt w:val="decimal"/>
      <w:lvlText w:val=""/>
      <w:lvlJc w:val="left"/>
    </w:lvl>
  </w:abstractNum>
  <w:abstractNum w:abstractNumId="2" w15:restartNumberingAfterBreak="0">
    <w:nsid w:val="62837C3A"/>
    <w:multiLevelType w:val="hybridMultilevel"/>
    <w:tmpl w:val="7B9C989E"/>
    <w:lvl w:ilvl="0" w:tplc="6930E6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F16AC"/>
    <w:multiLevelType w:val="hybridMultilevel"/>
    <w:tmpl w:val="72E42AD8"/>
    <w:lvl w:ilvl="0" w:tplc="2FAC530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5BE"/>
    <w:rsid w:val="002645BE"/>
    <w:rsid w:val="00B6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34B9B4-F9A1-4469-AC8F-85BE1563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2026-10-21T08:04:00Z</dcterms:created>
  <dcterms:modified xsi:type="dcterms:W3CDTF">2026-10-21T08:13:00Z</dcterms:modified>
</cp:coreProperties>
</file>