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c5266c4bcc8e99147d5d6744f5720d05342fcd"/>
    <w:p>
      <w:pPr>
        <w:pStyle w:val="Heading1"/>
      </w:pPr>
      <w:r>
        <w:t xml:space="preserve">GC-EndoGaussian — Response to Reviewers (camera-ready)</w:t>
      </w:r>
    </w:p>
    <w:p>
      <w:pPr>
        <w:pStyle w:val="FirstParagraph"/>
      </w:pPr>
      <w:r>
        <w:rPr>
          <w:bCs/>
          <w:b/>
        </w:rPr>
        <w:t xml:space="preserve">Venue:</w:t>
      </w:r>
      <w:r>
        <w:t xml:space="preserve"> </w:t>
      </w:r>
      <w:r>
        <w:t xml:space="preserve">AE-CAI | CARE | OR 2.0 | PRiSM ·</w:t>
      </w:r>
      <w:r>
        <w:t xml:space="preserve"> </w:t>
      </w:r>
      <w:r>
        <w:rPr>
          <w:bCs/>
          <w:b/>
        </w:rPr>
        <w:t xml:space="preserve">Reviews:</w:t>
      </w:r>
      <w:r>
        <w:t xml:space="preserve"> </w:t>
      </w:r>
      <w:r>
        <w:t xml:space="preserve">1× Accept, 2× Probably Accept (one best-paper-award-candidate mention) ·</w:t>
      </w:r>
      <w:r>
        <w:t xml:space="preserve"> </w:t>
      </w:r>
      <w:r>
        <w:rPr>
          <w:bCs/>
          <w:b/>
        </w:rPr>
        <w:t xml:space="preserve">Revision:</w:t>
      </w:r>
      <w:r>
        <w:t xml:space="preserve"> </w:t>
      </w:r>
      <w:r>
        <w:t xml:space="preserve">text-only — no experimental results changed.</w:t>
      </w:r>
    </w:p>
    <w:p>
      <w:pPr>
        <w:pStyle w:val="BodyText"/>
      </w:pPr>
      <w:r>
        <w:t xml:space="preserve">We thank all three reviewers for their careful reading and constructive feedback. Every raised weakness is addressed in the revised manuscript. Locations refer to the camera-ready source; section/figure numbers match the submitted layout.</w:t>
      </w:r>
    </w:p>
    <w:p>
      <w:r>
        <w:pict>
          <v:rect style="width:0;height:1.5pt" o:hralign="center" o:hrstd="t" o:hr="t"/>
        </w:pict>
      </w:r>
    </w:p>
    <w:bookmarkStart w:id="21" w:name="reviewer-1"/>
    <w:p>
      <w:pPr>
        <w:pStyle w:val="Heading2"/>
      </w:pPr>
      <w:r>
        <w:t xml:space="preserve">Reviewer 1</w:t>
      </w:r>
    </w:p>
    <w:bookmarkStart w:id="20" w:name="X338a5cda3386d361a00f10b395af06930fbc965"/>
    <w:p>
      <w:pPr>
        <w:pStyle w:val="Heading3"/>
      </w:pPr>
      <w:r>
        <w:t xml:space="preserve">W1 — Blurred results in the videos: is it a failure? How are they used?</w:t>
      </w:r>
    </w:p>
    <w:p>
      <w:pPr>
        <w:pStyle w:val="BlockText"/>
      </w:pPr>
      <w:r>
        <w:t xml:space="preserve">“</w:t>
      </w:r>
      <w:r>
        <w:t xml:space="preserve">Some rendered results in the videos still appear unrealistic (like overly blurred). I am wondering if it is considered a failure, or how users perceive or utilize these types of results.</w:t>
      </w:r>
      <w:r>
        <w:t xml:space="preserve">”</w:t>
      </w:r>
    </w:p>
    <w:p>
      <w:pPr>
        <w:pStyle w:val="FirstParagraph"/>
      </w:pPr>
      <w:r>
        <w:t xml:space="preserve">Not a failure, but the expected — and informative — behavior in regions the camera never observed. Two changes explain it: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Figure 2 caption</w:t>
      </w:r>
      <w:r>
        <w:t xml:space="preserve"> </w:t>
      </w:r>
      <w:r>
        <w:t xml:space="preserve">now separates geometry from appearance: the revealed region is under-observed from the effectively single-direction endoscopic viewpoint, so its</w:t>
      </w:r>
      <w:r>
        <w:t xml:space="preserve"> </w:t>
      </w:r>
      <w:r>
        <w:rPr>
          <w:bCs/>
          <w:b/>
        </w:rPr>
        <w:t xml:space="preserve">appearance</w:t>
      </w:r>
      <w:r>
        <w:t xml:space="preserve"> </w:t>
      </w:r>
      <w:r>
        <w:t xml:space="preserve">renders soft (we deliberately do not hallucinate unseen detail), while the exposed</w:t>
      </w:r>
      <w:r>
        <w:t xml:space="preserve"> </w:t>
      </w:r>
      <w:r>
        <w:rPr>
          <w:bCs/>
          <w:b/>
        </w:rPr>
        <w:t xml:space="preserve">geometry</w:t>
      </w:r>
      <w:r>
        <w:t xml:space="preserve"> </w:t>
      </w:r>
      <w:r>
        <w:t xml:space="preserve">is a coherent continuation of the depth-anchored reconstruction rather than a view-dependent shell — displacing tissue exposes structure, not holes.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Discussion paragraph</w:t>
      </w:r>
      <w:r>
        <w:t xml:space="preserve"> </w:t>
      </w:r>
      <w:r>
        <w:t xml:space="preserve">(§6,</w:t>
      </w:r>
      <w:r>
        <w:t xml:space="preserve"> </w:t>
      </w:r>
      <w:r>
        <w:t xml:space="preserve">“</w:t>
      </w:r>
      <w:r>
        <w:t xml:space="preserve">How should an edited view be read?</w:t>
      </w:r>
      <w:r>
        <w:t xml:space="preserve">”</w:t>
      </w:r>
      <w:r>
        <w:t xml:space="preserve">) tells the user how to utilize such views: the soft region marks where observation ends; the geometry underneath stays constrained (stereo-depth supervision fused across the deforming sequence, occlusion-holdout result of §5.6, zero out-of-support displacement of Fig. 3), so a reveal doubles as a probe of geometric completeness. Generative inpainting of unobserved appearance is named as future work.</w:t>
      </w:r>
      <w:r>
        <w:t xml:space="preserve"> </w:t>
      </w:r>
      <w:r>
        <w:t xml:space="preserve">### W2 — Clinical relevance / workflow integration unclear</w:t>
      </w:r>
    </w:p>
    <w:p>
      <w:pPr>
        <w:pStyle w:val="BlockText"/>
      </w:pPr>
      <w:r>
        <w:t xml:space="preserve">“</w:t>
      </w:r>
      <w:r>
        <w:t xml:space="preserve">The clinical relevance and potential applications are not sufficiently clear. The paper would benefit from more discussion of how the proposed framework would be integrated into clinical workflows.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Introduction ¶2</w:t>
      </w:r>
      <w:r>
        <w:t xml:space="preserve"> </w:t>
      </w:r>
      <w:r>
        <w:t xml:space="preserve">now gives concrete named scenarios: an instructor retracting a flap in a recorded procedure to show trainees the structures behind it (authoring several teaching configurations from one recording); post-operative case review probing what would have been visible under a different retraction; AR-guidance research adjusting a reconstruction toward a planned exposure.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Discussion (§6)</w:t>
      </w:r>
      <w:r>
        <w:t xml:space="preserve"> </w:t>
      </w:r>
      <w:r>
        <w:t xml:space="preserve">adds a workflow-integration sentence: the system consumes recorded stereo endoscopy and tool masks as already produced by existing pipelines, and is interactive after training (205 FPS, sub-5 ms edits), so it can be embedded in surgical-video review and training-content tools.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reviewer-4"/>
    <w:p>
      <w:pPr>
        <w:pStyle w:val="Heading2"/>
      </w:pPr>
      <w:r>
        <w:t xml:space="preserve">Reviewer 4</w:t>
      </w:r>
    </w:p>
    <w:bookmarkStart w:id="22" w:name="w1-validation-breadth"/>
    <w:p>
      <w:pPr>
        <w:pStyle w:val="Heading3"/>
      </w:pPr>
      <w:r>
        <w:t xml:space="preserve">W1 — Validation breadth</w:t>
      </w:r>
    </w:p>
    <w:p>
      <w:pPr>
        <w:pStyle w:val="BlockText"/>
      </w:pPr>
      <w:r>
        <w:t xml:space="preserve">“</w:t>
      </w:r>
      <w:r>
        <w:t xml:space="preserve">Validation is limited to two EndoNeRF reconstruction sequences and four SuPer tracking trials, reducing confidence in generalization across different anatomies, procedures, and imaging conditions.</w:t>
      </w:r>
      <w:r>
        <w:t xml:space="preserve">”</w:t>
      </w:r>
    </w:p>
    <w:p>
      <w:pPr>
        <w:pStyle w:val="FirstParagraph"/>
      </w:pPr>
      <w:r>
        <w:t xml:space="preserve">Acknowledged — stated explicitly as Limitation (iv). Broader validation across anatomies and acquisition settings is planned; the released implementation already supports additional dataset formats, which we hope facilitates community replication.</w:t>
      </w:r>
    </w:p>
    <w:bookmarkEnd w:id="22"/>
    <w:bookmarkStart w:id="23" w:name="w2-no-user-study-clinician-assessment"/>
    <w:p>
      <w:pPr>
        <w:pStyle w:val="Heading3"/>
      </w:pPr>
      <w:r>
        <w:t xml:space="preserve">W2 — No user study / clinician assessment</w:t>
      </w:r>
    </w:p>
    <w:p>
      <w:pPr>
        <w:pStyle w:val="BlockText"/>
      </w:pPr>
      <w:r>
        <w:t xml:space="preserve">“</w:t>
      </w:r>
      <w:r>
        <w:t xml:space="preserve">The evaluation focuses on geometric editing metrics but lacks any user study or clinician assessment regarding the usefulness, realism, or usability of the editing interface.</w:t>
      </w:r>
      <w:r>
        <w:t xml:space="preserve">”</w:t>
      </w:r>
    </w:p>
    <w:p>
      <w:pPr>
        <w:pStyle w:val="FirstParagraph"/>
      </w:pPr>
      <w:r>
        <w:t xml:space="preserve">Agreed and flagged as Limitation (ii); the</w:t>
      </w:r>
      <w:r>
        <w:t xml:space="preserve"> </w:t>
      </w:r>
      <w:r>
        <w:rPr>
          <w:bCs/>
          <w:b/>
        </w:rPr>
        <w:t xml:space="preserve">Conclusion</w:t>
      </w:r>
      <w:r>
        <w:t xml:space="preserve"> </w:t>
      </w:r>
      <w:r>
        <w:t xml:space="preserve">now names it concretely:</w:t>
      </w:r>
      <w:r>
        <w:t xml:space="preserve"> </w:t>
      </w:r>
      <w:r>
        <w:t xml:space="preserve">“</w:t>
      </w:r>
      <w:r>
        <w:t xml:space="preserve">Future work should quantify perceptual edit plausibility</w:t>
      </w:r>
      <w:r>
        <w:t xml:space="preserve"> </w:t>
      </w:r>
      <w:r>
        <w:rPr>
          <w:bCs/>
          <w:b/>
        </w:rPr>
        <w:t xml:space="preserve">with clinician user studies</w:t>
      </w:r>
      <w:r>
        <w:t xml:space="preserve">…</w:t>
      </w:r>
      <w:r>
        <w:t xml:space="preserve">”</w:t>
      </w:r>
    </w:p>
    <w:bookmarkEnd w:id="23"/>
    <w:bookmarkStart w:id="24" w:name="w3-not-biomechanically-accurate"/>
    <w:p>
      <w:pPr>
        <w:pStyle w:val="Heading3"/>
      </w:pPr>
      <w:r>
        <w:t xml:space="preserve">W3 — Not biomechanically accurate</w:t>
      </w:r>
    </w:p>
    <w:p>
      <w:pPr>
        <w:pStyle w:val="BlockText"/>
      </w:pPr>
      <w:r>
        <w:t xml:space="preserve">“</w:t>
      </w:r>
      <w:r>
        <w:t xml:space="preserve">While the authors explicitly state that the method is not biomechanically accurate, this limits its applicability for simulation or predictive surgical planning.</w:t>
      </w:r>
      <w:r>
        <w:t xml:space="preserve">”</w:t>
      </w:r>
    </w:p>
    <w:p>
      <w:pPr>
        <w:pStyle w:val="FirstParagraph"/>
      </w:pPr>
      <w:r>
        <w:t xml:space="preserve">We agree; the scoping is intentional and stated throughout (Abstract, §2.1, Fig. 2 caption, Limitation (i), Conclusion): GC-EndoGaussian evaluates the editing</w:t>
      </w:r>
      <w: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on a learned dynamic reconstruction; physics-based simulation (e.g., SimEndoGS-style) can be layered on our control nodes where predictive behavior is required.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reviewer-5"/>
    <w:p>
      <w:pPr>
        <w:pStyle w:val="Heading2"/>
      </w:pPr>
      <w:r>
        <w:t xml:space="preserve">Reviewer 5</w:t>
      </w:r>
    </w:p>
    <w:bookmarkStart w:id="26" w:name="w1-motivation-needs-clinical-examples"/>
    <w:p>
      <w:pPr>
        <w:pStyle w:val="Heading3"/>
      </w:pPr>
      <w:r>
        <w:t xml:space="preserve">W1 — Motivation needs clinical examples</w:t>
      </w:r>
    </w:p>
    <w:p>
      <w:pPr>
        <w:pStyle w:val="BlockText"/>
      </w:pPr>
      <w:r>
        <w:t xml:space="preserve">“</w:t>
      </w:r>
      <w:r>
        <w:t xml:space="preserve">The need for editing the gaussian reconstructions is not super well motivated to me. … it would be more specific to give some clinical examples of why / what these things are.</w:t>
      </w:r>
      <w:r>
        <w:t xml:space="preserve">”</w:t>
      </w:r>
    </w:p>
    <w:p>
      <w:pPr>
        <w:pStyle w:val="FirstParagraph"/>
      </w:pPr>
      <w:r>
        <w:t xml:space="preserve">Addressed identically to Reviewer 1 W2:</w:t>
      </w:r>
      <w:r>
        <w:t xml:space="preserve"> </w:t>
      </w:r>
      <w:r>
        <w:rPr>
          <w:bCs/>
          <w:b/>
        </w:rPr>
        <w:t xml:space="preserve">Introduction ¶2</w:t>
      </w:r>
      <w:r>
        <w:t xml:space="preserve"> </w:t>
      </w:r>
      <w:r>
        <w:t xml:space="preserve">replaces the abstract application list with three concrete clinical scenarios, and §6 adds the workflow-integration sentence.</w:t>
      </w:r>
    </w:p>
    <w:bookmarkEnd w:id="26"/>
    <w:bookmarkStart w:id="27" w:name="w2-justify-the-evaluation-metrics"/>
    <w:p>
      <w:pPr>
        <w:pStyle w:val="Heading3"/>
      </w:pPr>
      <w:r>
        <w:t xml:space="preserve">W2 — Justify the evaluation metrics</w:t>
      </w:r>
    </w:p>
    <w:p>
      <w:pPr>
        <w:pStyle w:val="BlockText"/>
      </w:pPr>
      <w:r>
        <w:t xml:space="preserve">“</w:t>
      </w:r>
      <w:r>
        <w:t xml:space="preserve">justifying the choice of evaluation metrics would help strengthen the results and discussion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§4 (Metrics and implementation)</w:t>
      </w:r>
      <w:r>
        <w:t xml:space="preserve"> </w:t>
      </w:r>
      <w:r>
        <w:t xml:space="preserve">now states the rationale explicitly: the two metric families are deliberately disjoint. Reconstruction metrics (PSNR/SSIM/LPIPS/depth-RMSE) follow the standard EndoNeRF/EndoGaussian protocol for comparability and are computed</w:t>
      </w:r>
      <w:r>
        <w:t xml:space="preserve"> </w:t>
      </w:r>
      <w:r>
        <w:rPr>
          <w:bCs/>
          <w:b/>
        </w:rPr>
        <w:t xml:space="preserve">only on unedited held-out frames</w:t>
      </w:r>
      <w:r>
        <w:t xml:space="preserve">. The interface metrics measure what is verifiable without ground truth: command-following (handle fidelity), spatial confinement (3D and pixel leakage), geometric sanity (foldover), and interactivity (latency).</w:t>
      </w:r>
    </w:p>
    <w:bookmarkEnd w:id="27"/>
    <w:bookmarkStart w:id="28" w:name="w3-figure-2-blur-unclear"/>
    <w:p>
      <w:pPr>
        <w:pStyle w:val="Heading3"/>
      </w:pPr>
      <w:r>
        <w:t xml:space="preserve">W3 — Figure 2 blur unclear</w:t>
      </w:r>
    </w:p>
    <w:p>
      <w:pPr>
        <w:pStyle w:val="BlockText"/>
      </w:pPr>
      <w:r>
        <w:t xml:space="preserve">“</w:t>
      </w:r>
      <w:r>
        <w:t xml:space="preserve">In figure 2, I see a lot of blurring behind the pulled back region. it’s unclear to me why this blurring is helpful. I think the caption should make it more clear why this is interesting.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Figure 2’s caption</w:t>
      </w:r>
      <w:r>
        <w:t xml:space="preserve"> </w:t>
      </w:r>
      <w:r>
        <w:t xml:space="preserve">was rewritten (see Reviewer 1 W1): the blur is under-observed appearance (deliberately not hallucinated); the interesting part is the exposed geometry — a coherent, depth-anchored continuation where a view-overfit reconstruction would show holes.</w:t>
      </w:r>
    </w:p>
    <w:bookmarkEnd w:id="28"/>
    <w:bookmarkStart w:id="29" w:name="w4-why-this-matters-missing"/>
    <w:p>
      <w:pPr>
        <w:pStyle w:val="Heading3"/>
      </w:pPr>
      <w:r>
        <w:t xml:space="preserve">W4 —</w:t>
      </w:r>
      <w:r>
        <w:t xml:space="preserve"> </w:t>
      </w:r>
      <w:r>
        <w:t xml:space="preserve">“</w:t>
      </w:r>
      <w:r>
        <w:t xml:space="preserve">Why this matters</w:t>
      </w:r>
      <w:r>
        <w:t xml:space="preserve">”</w:t>
      </w:r>
      <w:r>
        <w:t xml:space="preserve"> </w:t>
      </w:r>
      <w:r>
        <w:t xml:space="preserve">missing</w:t>
      </w:r>
    </w:p>
    <w:p>
      <w:pPr>
        <w:pStyle w:val="BlockText"/>
      </w:pPr>
      <w:r>
        <w:t xml:space="preserve">“</w:t>
      </w:r>
      <w:r>
        <w:t xml:space="preserve">I’m still missing the</w:t>
      </w:r>
      <w:r>
        <w:t xml:space="preserve"> </w:t>
      </w:r>
      <w:r>
        <w:t xml:space="preserve">‘</w:t>
      </w:r>
      <w:r>
        <w:t xml:space="preserve">why this matters</w:t>
      </w:r>
      <w:r>
        <w:t xml:space="preserve">’</w:t>
      </w:r>
      <w:r>
        <w:t xml:space="preserve"> </w:t>
      </w:r>
      <w:r>
        <w:t xml:space="preserve">a bit. Perhaps addressing my previous comments about the motivation would help.</w:t>
      </w:r>
      <w:r>
        <w:t xml:space="preserve">”</w:t>
      </w:r>
    </w:p>
    <w:p>
      <w:pPr>
        <w:pStyle w:val="FirstParagraph"/>
      </w:pPr>
      <w:r>
        <w:t xml:space="preserve">Three additions combine to answer this: the concrete clinical uses (Intro ¶2), the reveal-as-completeness-probe framing (§6), and the workflow sentence (§6). The residual finding also matters as a design rule: any group attaching sparse editing handles to a high-fidelity surgical reconstruction should retain a dense per-Gaussian residual, or fidelity, stability, and edit locality all degrade (§5.5).</w:t>
      </w:r>
    </w:p>
    <w:bookmarkEnd w:id="29"/>
    <w:bookmarkStart w:id="30" w:name="Xc72aebbaa82c30bd34e1778004c2f0af4a07449"/>
    <w:p>
      <w:pPr>
        <w:pStyle w:val="Heading3"/>
      </w:pPr>
      <w:r>
        <w:t xml:space="preserve">W5 — Ground truth for edits / how was RMSE computed?</w:t>
      </w:r>
    </w:p>
    <w:p>
      <w:pPr>
        <w:pStyle w:val="BlockText"/>
      </w:pPr>
      <w:r>
        <w:t xml:space="preserve">“</w:t>
      </w:r>
      <w:r>
        <w:t xml:space="preserve">The ground truth for the reconstruction manipulation is also unclear to me. In the submission video, I’m not sure what I should be expecting to see in these blurred regions, how was RMSE computed?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§4</w:t>
      </w:r>
      <w:r>
        <w:t xml:space="preserve"> </w:t>
      </w:r>
      <w:r>
        <w:t xml:space="preserve">removes the ambiguity: a counterfactual edit has no ground-truth image, so</w:t>
      </w:r>
      <w:r>
        <w:t xml:space="preserve"> </w:t>
      </w:r>
      <w:r>
        <w:rPr>
          <w:bCs/>
          <w:b/>
        </w:rPr>
        <w:t xml:space="preserve">edited renders are never scored with PSNR, SSIM, LPIPS, or depth RMSE</w:t>
      </w:r>
      <w:r>
        <w:t xml:space="preserve"> </w:t>
      </w:r>
      <w:r>
        <w:t xml:space="preserve">— those numbers come exclusively from unedited held-out frames. Edits are evaluated only by the self-referential interface metrics. What to expect in revealed regions is now specified in the Fig. 2 caption and §6 (soft appearance where observation ends; coherent geometry underneath).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-of-manuscript-changes"/>
    <w:p>
      <w:pPr>
        <w:pStyle w:val="Heading2"/>
      </w:pPr>
      <w:r>
        <w:t xml:space="preserve">Summary of manuscript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3771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¶2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application list → three concrete clinical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2 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Geometry-vs-appearance explanation of the revealed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Metric-family rationale; explicit</w:t>
            </w:r>
            <w:r>
              <w:t xml:space="preserve"> </w:t>
            </w:r>
            <w:r>
              <w:t xml:space="preserve">“</w:t>
            </w:r>
            <w:r>
              <w:t xml:space="preserve">no reconstruction metric on edited renders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paragraph</w:t>
            </w:r>
            <w:r>
              <w:t xml:space="preserve"> </w:t>
            </w:r>
            <w:r>
              <w:t xml:space="preserve">“</w:t>
            </w:r>
            <w:r>
              <w:t xml:space="preserve">How should an edited view be read?</w:t>
            </w:r>
            <w:r>
              <w:t xml:space="preserve">”</w:t>
            </w:r>
            <w:r>
              <w:t xml:space="preserve"> </w:t>
            </w:r>
            <w:r>
              <w:t xml:space="preserve">+ workflow integration; §5.6 labeled for cross-reference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work names clinician user studies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video:</w:t>
      </w:r>
      <w:r>
        <w:t xml:space="preserve"> </w:t>
      </w:r>
      <w:r>
        <w:t xml:space="preserve">unchanged from the reviewed version. The revised Figure 2 caption and the new Discussion paragraph (§6) now tell the viewer how to interpret the soft revealed regions it shows.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2026-08-06T07:14:52Z</dcterms:created>
  <dcterms:modified xsi:type="dcterms:W3CDTF">2026-08-06T07:14:52Z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